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82B5C7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E351F9">
        <w:rPr>
          <w:rFonts w:asciiTheme="majorHAnsi" w:hAnsiTheme="majorHAnsi"/>
          <w:sz w:val="24"/>
          <w:szCs w:val="24"/>
        </w:rPr>
        <w:t>Stable Tone</w:t>
      </w:r>
      <w:r w:rsidR="00A01BAD">
        <w:rPr>
          <w:rFonts w:asciiTheme="majorHAnsi" w:hAnsiTheme="majorHAnsi"/>
          <w:sz w:val="24"/>
          <w:szCs w:val="24"/>
        </w:rPr>
        <w:t xml:space="preserve"> Limited, </w:t>
      </w:r>
      <w:r w:rsidR="00746EB4">
        <w:rPr>
          <w:rFonts w:asciiTheme="majorHAnsi" w:hAnsiTheme="majorHAnsi"/>
          <w:sz w:val="24"/>
          <w:szCs w:val="24"/>
        </w:rPr>
        <w:t xml:space="preserve">a </w:t>
      </w:r>
      <w:r w:rsidR="00A01BAD">
        <w:rPr>
          <w:rFonts w:asciiTheme="majorHAnsi" w:hAnsiTheme="majorHAnsi"/>
          <w:sz w:val="24"/>
          <w:szCs w:val="24"/>
        </w:rPr>
        <w:t>limited company</w:t>
      </w:r>
      <w:r w:rsidR="002D622A" w:rsidRPr="0046082C">
        <w:rPr>
          <w:rFonts w:asciiTheme="majorHAnsi" w:hAnsiTheme="majorHAnsi"/>
          <w:sz w:val="24"/>
          <w:szCs w:val="24"/>
        </w:rPr>
        <w:t xml:space="preserve"> </w:t>
      </w:r>
      <w:r w:rsidR="00370106">
        <w:rPr>
          <w:rFonts w:asciiTheme="majorHAnsi" w:hAnsiTheme="majorHAnsi"/>
          <w:sz w:val="24"/>
          <w:szCs w:val="24"/>
        </w:rPr>
        <w:t>incorporated in Hong Kong</w:t>
      </w:r>
      <w:r w:rsidR="002D622A" w:rsidRPr="0046082C">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929A66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r w:rsidR="00B17039" w:rsidRPr="00B17039">
        <w:rPr>
          <w:rFonts w:asciiTheme="majorHAnsi" w:hAnsiTheme="majorHAnsi"/>
          <w:szCs w:val="24"/>
        </w:rPr>
        <w:t xml:space="preserve">xn--rhqv96g </w:t>
      </w:r>
      <w:r w:rsidR="00746EB4">
        <w:rPr>
          <w:rFonts w:asciiTheme="majorHAnsi" w:hAnsiTheme="majorHAnsi"/>
          <w:szCs w:val="24"/>
        </w:rPr>
        <w:t>(</w:t>
      </w:r>
      <w:r w:rsidR="00B17039" w:rsidRPr="00B17039">
        <w:rPr>
          <w:rFonts w:asciiTheme="majorHAnsi" w:hAnsiTheme="majorHAnsi"/>
          <w:b/>
          <w:bCs/>
          <w:szCs w:val="24"/>
        </w:rPr>
        <w:t>世界</w:t>
      </w:r>
      <w:r w:rsidR="00746EB4" w:rsidRPr="00746EB4">
        <w:rPr>
          <w:rFonts w:asciiTheme="majorHAnsi" w:hAnsiTheme="majorHAnsi"/>
          <w:bCs/>
          <w:szCs w:val="24"/>
        </w:rPr>
        <w: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6F7106" w14:textId="75DB0C19" w:rsidR="00F03195" w:rsidRDefault="005332B6"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E351F9">
        <w:rPr>
          <w:rFonts w:asciiTheme="majorHAnsi" w:hAnsiTheme="majorHAnsi"/>
          <w:sz w:val="24"/>
          <w:szCs w:val="24"/>
        </w:rPr>
        <w:t>Stable Tone</w:t>
      </w:r>
      <w:r w:rsidR="00022DF2">
        <w:rPr>
          <w:rFonts w:asciiTheme="majorHAnsi" w:hAnsiTheme="majorHAnsi"/>
          <w:sz w:val="24"/>
          <w:szCs w:val="24"/>
        </w:rPr>
        <w:t xml:space="preserve"> Limited</w:t>
      </w:r>
      <w:r w:rsidRPr="0046082C">
        <w:rPr>
          <w:rFonts w:asciiTheme="majorHAnsi" w:hAnsiTheme="majorHAnsi"/>
          <w:sz w:val="24"/>
          <w:szCs w:val="24"/>
        </w:rPr>
        <w:br/>
      </w:r>
      <w:r w:rsidR="00971E81" w:rsidRPr="00971E81">
        <w:rPr>
          <w:rFonts w:asciiTheme="majorHAnsi" w:eastAsia="DFKai-SB" w:hAnsiTheme="majorHAnsi" w:cs="Arial"/>
          <w:sz w:val="24"/>
          <w:szCs w:val="24"/>
        </w:rPr>
        <w:t>Unit 10-28, 32/F, Tower 1, Millennium City 1</w:t>
      </w:r>
    </w:p>
    <w:p w14:paraId="5CF8B55E" w14:textId="26593405" w:rsidR="00F03195" w:rsidRDefault="00971E81" w:rsidP="0046082C">
      <w:pPr>
        <w:widowControl w:val="0"/>
        <w:autoSpaceDE w:val="0"/>
        <w:autoSpaceDN w:val="0"/>
        <w:adjustRightInd w:val="0"/>
        <w:ind w:left="1440"/>
        <w:rPr>
          <w:rFonts w:asciiTheme="majorHAnsi" w:hAnsiTheme="majorHAnsi"/>
          <w:sz w:val="24"/>
          <w:szCs w:val="24"/>
        </w:rPr>
      </w:pPr>
      <w:r w:rsidRPr="00971E81">
        <w:rPr>
          <w:rFonts w:asciiTheme="majorHAnsi" w:hAnsiTheme="majorHAnsi"/>
          <w:sz w:val="24"/>
          <w:szCs w:val="24"/>
        </w:rPr>
        <w:t>Hong Kong</w:t>
      </w:r>
      <w:r>
        <w:rPr>
          <w:rFonts w:asciiTheme="majorHAnsi" w:hAnsiTheme="majorHAnsi"/>
          <w:sz w:val="24"/>
          <w:szCs w:val="24"/>
        </w:rPr>
        <w:t>, Kowloon</w:t>
      </w:r>
    </w:p>
    <w:p w14:paraId="1830655F" w14:textId="6444A6DE" w:rsidR="0046082C" w:rsidRDefault="00971E81"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HK</w:t>
      </w:r>
    </w:p>
    <w:p w14:paraId="42C0DAB9" w14:textId="27EB372F" w:rsidR="00971E81"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248F3" w:rsidRPr="0046082C">
        <w:rPr>
          <w:rFonts w:asciiTheme="majorHAnsi" w:hAnsiTheme="majorHAnsi"/>
          <w:sz w:val="24"/>
          <w:szCs w:val="24"/>
        </w:rPr>
        <w:t>+</w:t>
      </w:r>
      <w:r w:rsidR="00971E81" w:rsidRPr="00971E81">
        <w:rPr>
          <w:rFonts w:ascii="Arial" w:eastAsia="DFKai-SB" w:hAnsi="Arial" w:cs="Arial"/>
          <w:sz w:val="24"/>
          <w:szCs w:val="24"/>
        </w:rPr>
        <w:t xml:space="preserve"> </w:t>
      </w:r>
      <w:r w:rsidR="00971E81" w:rsidRPr="00971E81">
        <w:rPr>
          <w:rFonts w:asciiTheme="majorHAnsi" w:hAnsiTheme="majorHAnsi"/>
          <w:sz w:val="24"/>
          <w:szCs w:val="24"/>
        </w:rPr>
        <w:t>85.2.2824.8694</w:t>
      </w:r>
      <w:r w:rsidRPr="0046082C">
        <w:rPr>
          <w:rFonts w:asciiTheme="majorHAnsi" w:hAnsiTheme="majorHAnsi"/>
          <w:sz w:val="24"/>
          <w:szCs w:val="24"/>
        </w:rPr>
        <w:br/>
      </w:r>
      <w:r w:rsidR="00971E81">
        <w:rPr>
          <w:rFonts w:asciiTheme="majorHAnsi" w:hAnsiTheme="majorHAnsi"/>
          <w:sz w:val="24"/>
          <w:szCs w:val="24"/>
        </w:rPr>
        <w:t>Fax: +</w:t>
      </w:r>
      <w:r w:rsidR="00971E81" w:rsidRPr="00971E81">
        <w:rPr>
          <w:rFonts w:ascii="Arial" w:eastAsia="DFKai-SB" w:hAnsi="Arial" w:cs="Arial"/>
          <w:sz w:val="24"/>
          <w:szCs w:val="24"/>
        </w:rPr>
        <w:t xml:space="preserve"> </w:t>
      </w:r>
      <w:r w:rsidR="00971E81" w:rsidRPr="00971E81">
        <w:rPr>
          <w:rFonts w:asciiTheme="majorHAnsi" w:hAnsiTheme="majorHAnsi"/>
          <w:sz w:val="24"/>
          <w:szCs w:val="24"/>
        </w:rPr>
        <w:t>85.2.3972.2211</w:t>
      </w:r>
    </w:p>
    <w:p w14:paraId="223E1122" w14:textId="5A24733C"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Attention:  </w:t>
      </w:r>
      <w:r w:rsidR="00971E81">
        <w:rPr>
          <w:rFonts w:asciiTheme="majorHAnsi" w:hAnsiTheme="majorHAnsi"/>
          <w:sz w:val="24"/>
          <w:szCs w:val="24"/>
        </w:rPr>
        <w:t>Jason Du, CEO</w:t>
      </w:r>
    </w:p>
    <w:p w14:paraId="211A8B15" w14:textId="2E95D28D"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0D3712">
        <w:rPr>
          <w:rFonts w:asciiTheme="majorHAnsi" w:hAnsiTheme="majorHAnsi"/>
          <w:sz w:val="24"/>
          <w:szCs w:val="24"/>
        </w:rPr>
        <w:t>jasonscdu@aol.com</w:t>
      </w:r>
    </w:p>
    <w:p w14:paraId="14C7FFDC" w14:textId="77777777" w:rsidR="00971E81" w:rsidRPr="002F583E" w:rsidRDefault="00971E81" w:rsidP="00971E81">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22E87F5" w:rsidR="00115B11" w:rsidRPr="0046082C" w:rsidRDefault="00B17039">
      <w:pPr>
        <w:pStyle w:val="BodyText"/>
        <w:rPr>
          <w:rFonts w:asciiTheme="majorHAnsi" w:hAnsiTheme="majorHAnsi"/>
          <w:b/>
          <w:sz w:val="24"/>
          <w:szCs w:val="24"/>
        </w:rPr>
      </w:pPr>
      <w:r>
        <w:rPr>
          <w:rFonts w:asciiTheme="majorHAnsi" w:hAnsiTheme="majorHAnsi"/>
          <w:b/>
          <w:sz w:val="24"/>
          <w:szCs w:val="24"/>
        </w:rPr>
        <w:t>ST</w:t>
      </w:r>
      <w:r w:rsidR="00E351F9">
        <w:rPr>
          <w:rFonts w:asciiTheme="majorHAnsi" w:hAnsiTheme="majorHAnsi"/>
          <w:b/>
          <w:sz w:val="24"/>
          <w:szCs w:val="24"/>
        </w:rPr>
        <w:t>ABLE TONE</w:t>
      </w:r>
      <w:r w:rsidR="00022DF2">
        <w:rPr>
          <w:rFonts w:asciiTheme="majorHAnsi" w:hAnsiTheme="majorHAnsi"/>
          <w:b/>
          <w:sz w:val="24"/>
          <w:szCs w:val="24"/>
        </w:rPr>
        <w:t xml:space="preserve"> LIMITED</w:t>
      </w:r>
    </w:p>
    <w:p w14:paraId="18E029DF" w14:textId="77777777" w:rsidR="00B17039"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B17039">
        <w:rPr>
          <w:rFonts w:asciiTheme="majorHAnsi" w:hAnsiTheme="majorHAnsi"/>
          <w:sz w:val="24"/>
          <w:szCs w:val="24"/>
        </w:rPr>
        <w:t>Jason Du</w:t>
      </w:r>
    </w:p>
    <w:p w14:paraId="291A593F" w14:textId="05E0D8B7" w:rsidR="00115B11" w:rsidRDefault="00B17039" w:rsidP="00B17039">
      <w:pPr>
        <w:pStyle w:val="BodyTextIndent2"/>
        <w:ind w:firstLine="720"/>
        <w:rPr>
          <w:rFonts w:asciiTheme="majorHAnsi" w:hAnsiTheme="majorHAnsi"/>
          <w:sz w:val="24"/>
          <w:szCs w:val="24"/>
        </w:rPr>
      </w:pPr>
      <w:r>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015FD0" w14:textId="77777777" w:rsidR="00B17039" w:rsidRPr="007219B2" w:rsidRDefault="00B17039" w:rsidP="00B1703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DNS Service – TLD Zone Contents</w:t>
      </w:r>
    </w:p>
    <w:p w14:paraId="29C5688F" w14:textId="77777777" w:rsidR="00B17039" w:rsidRPr="007219B2" w:rsidRDefault="00B17039" w:rsidP="00B170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549000E" w14:textId="77777777" w:rsidR="00B17039" w:rsidRPr="007219B2" w:rsidRDefault="00B17039" w:rsidP="00B170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C93E537" w14:textId="77777777" w:rsidR="00B17039" w:rsidRPr="007219B2" w:rsidRDefault="00B17039" w:rsidP="00B170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0CD3770" w14:textId="77777777" w:rsidR="00B17039" w:rsidRPr="007219B2" w:rsidRDefault="00B17039" w:rsidP="00B170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BD48FF8" w14:textId="77777777" w:rsidR="00B17039" w:rsidRPr="007219B2" w:rsidRDefault="00B17039" w:rsidP="00B170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4A3CD1F" w14:textId="77777777" w:rsidR="00B17039" w:rsidRPr="007219B2" w:rsidRDefault="00B17039" w:rsidP="00B170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0108A9" w14:textId="77777777" w:rsidR="00B17039" w:rsidRPr="007219B2" w:rsidRDefault="00B17039" w:rsidP="00B170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1B61289" w14:textId="77777777" w:rsidR="00B17039" w:rsidRPr="007219B2" w:rsidRDefault="00B17039" w:rsidP="00B170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0F1F520" w14:textId="77777777" w:rsidR="00B17039" w:rsidRPr="00983BFF" w:rsidRDefault="00B17039" w:rsidP="00B17039">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D55A0EB" w14:textId="77777777" w:rsidR="00B17039" w:rsidRPr="00983BFF" w:rsidRDefault="00B17039" w:rsidP="00B17039">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90B3E7A" w14:textId="77777777" w:rsidR="00B17039" w:rsidRPr="00983BFF" w:rsidRDefault="00B17039" w:rsidP="00B1703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F687F67" w14:textId="77777777" w:rsidR="00B17039" w:rsidRPr="00983BFF" w:rsidRDefault="00B17039" w:rsidP="00B1703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36EC44EC" w14:textId="77777777" w:rsidR="00B17039" w:rsidRPr="00983BFF" w:rsidRDefault="00B17039" w:rsidP="00B17039">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 xml:space="preserve">By default variant IDNs (as defined in the Registry Operator’s IDN tables and IDN Registration Rules) must be </w:t>
      </w:r>
      <w:r>
        <w:rPr>
          <w:rFonts w:ascii="Cambria" w:eastAsia="Arial" w:hAnsi="Cambria" w:cs="Arial"/>
          <w:color w:val="000000"/>
          <w:szCs w:val="22"/>
          <w:lang w:eastAsia="ja-JP"/>
        </w:rPr>
        <w:t>blocked</w:t>
      </w:r>
      <w:r w:rsidRPr="00983BFF">
        <w:rPr>
          <w:rFonts w:ascii="Cambria" w:eastAsia="Arial" w:hAnsi="Cambria" w:cs="Arial"/>
          <w:color w:val="000000"/>
          <w:szCs w:val="22"/>
          <w:lang w:eastAsia="ja-JP"/>
        </w:rPr>
        <w:t xml:space="preserve"> from registration.</w:t>
      </w:r>
    </w:p>
    <w:p w14:paraId="211CD58C" w14:textId="77777777" w:rsidR="00B17039" w:rsidRDefault="00B17039" w:rsidP="00B17039">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Variant IDNs may be activated when requested by the sponsoring Registrar of the canonical name as described in the IDN Tables and IDN Registration Rules.</w:t>
      </w:r>
    </w:p>
    <w:p w14:paraId="6A391E18" w14:textId="77777777" w:rsidR="00B17039" w:rsidRDefault="00B17039" w:rsidP="00B17039">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C446E70" w14:textId="77777777" w:rsidR="00B17039" w:rsidRPr="00983BFF" w:rsidRDefault="00B17039" w:rsidP="00B1703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84D91DB" w14:textId="77777777" w:rsidR="00B17039" w:rsidRPr="00983BFF" w:rsidRDefault="00B17039" w:rsidP="00B17039">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Chinese Language</w:t>
      </w:r>
    </w:p>
    <w:p w14:paraId="32E1703A" w14:textId="77777777" w:rsidR="00B17039" w:rsidRPr="004A4A05" w:rsidRDefault="00B17039" w:rsidP="00B17039">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0D9B299B" w14:textId="77777777" w:rsidR="00B17039" w:rsidRPr="004A4A05" w:rsidRDefault="00B17039" w:rsidP="00B17039">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w:t>
      </w:r>
      <w:r>
        <w:rPr>
          <w:rFonts w:ascii="Cambria" w:eastAsia="Arial" w:hAnsi="Cambria" w:cs="Arial"/>
          <w:color w:val="000000"/>
          <w:szCs w:val="22"/>
          <w:lang w:eastAsia="ja-JP"/>
        </w:rPr>
        <w:t xml:space="preserve">.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B17039" w:rsidRDefault="00B17039">
      <w:pPr>
        <w:pStyle w:val="Footer"/>
      </w:pPr>
    </w:p>
  </w:endnote>
  <w:endnote w:type="continuationSeparator" w:id="0">
    <w:p w14:paraId="67A6DD6C" w14:textId="77777777" w:rsidR="00B17039" w:rsidRDefault="00B1703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B17039" w:rsidRDefault="00B1703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17039" w:rsidRDefault="00B17039">
    <w:pPr>
      <w:pStyle w:val="Footer"/>
      <w:spacing w:line="200" w:lineRule="exact"/>
      <w:jc w:val="center"/>
    </w:pPr>
    <w:r>
      <w:fldChar w:fldCharType="begin"/>
    </w:r>
    <w:r>
      <w:instrText xml:space="preserve"> PAGE   \* MERGEFORMAT </w:instrText>
    </w:r>
    <w:r>
      <w:fldChar w:fldCharType="separate"/>
    </w:r>
    <w:r w:rsidR="00630F56">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17039" w:rsidRDefault="00B17039">
    <w:pPr>
      <w:pStyle w:val="Footer"/>
      <w:spacing w:line="200" w:lineRule="exact"/>
      <w:jc w:val="center"/>
    </w:pPr>
    <w:r>
      <w:fldChar w:fldCharType="begin"/>
    </w:r>
    <w:r>
      <w:instrText xml:space="preserve"> PAGE   \* MERGEFORMAT </w:instrText>
    </w:r>
    <w:r>
      <w:fldChar w:fldCharType="separate"/>
    </w:r>
    <w:r w:rsidR="00630F56">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88</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17039" w:rsidRDefault="00B1703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30F56">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17039" w:rsidRDefault="00B17039">
    <w:pPr>
      <w:pStyle w:val="Footer"/>
      <w:spacing w:line="200" w:lineRule="exact"/>
      <w:jc w:val="center"/>
    </w:pPr>
    <w:r>
      <w:fldChar w:fldCharType="begin"/>
    </w:r>
    <w:r>
      <w:instrText xml:space="preserve"> PAGE   \* MERGEFORMAT </w:instrText>
    </w:r>
    <w:r>
      <w:fldChar w:fldCharType="separate"/>
    </w:r>
    <w:r w:rsidR="00630F56">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17039" w:rsidRDefault="00B17039">
    <w:pPr>
      <w:pStyle w:val="Footer"/>
      <w:tabs>
        <w:tab w:val="clear" w:pos="4680"/>
      </w:tabs>
      <w:spacing w:line="200" w:lineRule="exact"/>
      <w:jc w:val="center"/>
    </w:pPr>
  </w:p>
  <w:p w14:paraId="4A3D38B9"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17039" w:rsidRDefault="00B17039">
    <w:pPr>
      <w:pStyle w:val="Footer"/>
      <w:spacing w:line="200" w:lineRule="exact"/>
      <w:jc w:val="center"/>
    </w:pPr>
    <w:r>
      <w:fldChar w:fldCharType="begin"/>
    </w:r>
    <w:r>
      <w:instrText xml:space="preserve"> PAGE   \* MERGEFORMAT </w:instrText>
    </w:r>
    <w:r>
      <w:fldChar w:fldCharType="separate"/>
    </w:r>
    <w:r w:rsidR="00630F56">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17039" w:rsidRDefault="00B17039">
    <w:pPr>
      <w:pStyle w:val="Footer"/>
      <w:spacing w:line="200" w:lineRule="exact"/>
      <w:jc w:val="center"/>
    </w:pPr>
    <w:r>
      <w:fldChar w:fldCharType="begin"/>
    </w:r>
    <w:r>
      <w:instrText xml:space="preserve"> PAGE   \* MERGEFORMAT </w:instrText>
    </w:r>
    <w:r>
      <w:fldChar w:fldCharType="separate"/>
    </w:r>
    <w:r w:rsidR="00630F56">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17039" w:rsidRDefault="00B17039">
    <w:pPr>
      <w:pStyle w:val="Footer"/>
      <w:tabs>
        <w:tab w:val="clear" w:pos="4680"/>
      </w:tabs>
      <w:spacing w:line="200" w:lineRule="exact"/>
      <w:jc w:val="center"/>
    </w:pPr>
    <w:r>
      <w:fldChar w:fldCharType="begin"/>
    </w:r>
    <w:r>
      <w:instrText xml:space="preserve"> PAGE   \* MERGEFORMAT </w:instrText>
    </w:r>
    <w:r>
      <w:fldChar w:fldCharType="separate"/>
    </w:r>
    <w:r w:rsidR="00630F56">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B17039" w:rsidRDefault="00B17039">
      <w:r>
        <w:separator/>
      </w:r>
    </w:p>
  </w:footnote>
  <w:footnote w:type="continuationSeparator" w:id="0">
    <w:p w14:paraId="189A43B6" w14:textId="77777777" w:rsidR="00B17039" w:rsidRDefault="00B17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17039" w:rsidRDefault="00B17039">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17039" w:rsidRDefault="00B1703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17039" w:rsidRDefault="00B1703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17039" w:rsidRDefault="00B170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17039" w:rsidRDefault="00B170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17039" w:rsidRDefault="00B1703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17039" w:rsidRDefault="00B1703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17039" w:rsidRDefault="00B1703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17039" w:rsidRDefault="00B1703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17039" w:rsidRDefault="00B1703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17039" w:rsidRDefault="00B1703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17039" w:rsidRDefault="00B170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ObeLiQ989I45oBgRShMEIMeJPm0=" w:salt="rR4XuZ77/4m6gX78pKpsn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0B6CAD"/>
    <w:rsid w:val="000D3712"/>
    <w:rsid w:val="00115B11"/>
    <w:rsid w:val="00116751"/>
    <w:rsid w:val="002125A2"/>
    <w:rsid w:val="00297FA9"/>
    <w:rsid w:val="002B30B6"/>
    <w:rsid w:val="002D622A"/>
    <w:rsid w:val="003248F3"/>
    <w:rsid w:val="00370106"/>
    <w:rsid w:val="003F1ECD"/>
    <w:rsid w:val="00410C40"/>
    <w:rsid w:val="0046082C"/>
    <w:rsid w:val="004D3240"/>
    <w:rsid w:val="00527630"/>
    <w:rsid w:val="005332B6"/>
    <w:rsid w:val="00630F56"/>
    <w:rsid w:val="0069064E"/>
    <w:rsid w:val="00746EB4"/>
    <w:rsid w:val="00857598"/>
    <w:rsid w:val="008D5ABC"/>
    <w:rsid w:val="00971E81"/>
    <w:rsid w:val="009C6F01"/>
    <w:rsid w:val="009E5701"/>
    <w:rsid w:val="00A01BAD"/>
    <w:rsid w:val="00A25E28"/>
    <w:rsid w:val="00A510AC"/>
    <w:rsid w:val="00B17039"/>
    <w:rsid w:val="00B24EEA"/>
    <w:rsid w:val="00BC0CA9"/>
    <w:rsid w:val="00DE0800"/>
    <w:rsid w:val="00E17C76"/>
    <w:rsid w:val="00E351F9"/>
    <w:rsid w:val="00EE7092"/>
    <w:rsid w:val="00F03195"/>
    <w:rsid w:val="00F24E9B"/>
    <w:rsid w:val="00F72D28"/>
    <w:rsid w:val="00FB2413"/>
    <w:rsid w:val="00FC6603"/>
    <w:rsid w:val="00FF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E0A9-2EE3-7043-89C4-FB3105D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32245</Words>
  <Characters>183800</Characters>
  <Application>Microsoft Macintosh Word</Application>
  <DocSecurity>8</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2013-09-12T02:03:00Z</dcterms:created>
  <dcterms:modified xsi:type="dcterms:W3CDTF">2013-09-12T02:03:00Z</dcterms:modified>
  <cp:contentStatus/>
</cp:coreProperties>
</file>