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4963B7D"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A01BAD">
        <w:rPr>
          <w:rFonts w:asciiTheme="majorHAnsi" w:hAnsiTheme="majorHAnsi"/>
          <w:sz w:val="24"/>
          <w:szCs w:val="24"/>
        </w:rPr>
        <w:t xml:space="preserve">Zodiac </w:t>
      </w:r>
      <w:r w:rsidR="00E40E0A">
        <w:rPr>
          <w:rFonts w:asciiTheme="majorHAnsi" w:hAnsiTheme="majorHAnsi"/>
          <w:sz w:val="24"/>
          <w:szCs w:val="24"/>
        </w:rPr>
        <w:t>Scorpio</w:t>
      </w:r>
      <w:r w:rsidR="00A01BAD">
        <w:rPr>
          <w:rFonts w:asciiTheme="majorHAnsi" w:hAnsiTheme="majorHAnsi"/>
          <w:sz w:val="24"/>
          <w:szCs w:val="24"/>
        </w:rPr>
        <w:t xml:space="preserve"> Limited, private limited company</w:t>
      </w:r>
      <w:r w:rsidR="002D622A" w:rsidRPr="0046082C">
        <w:rPr>
          <w:rFonts w:asciiTheme="majorHAnsi" w:hAnsiTheme="majorHAnsi"/>
          <w:sz w:val="24"/>
          <w:szCs w:val="24"/>
        </w:rPr>
        <w:t xml:space="preserve"> incorporated in </w:t>
      </w:r>
      <w:r w:rsidR="00A01BAD">
        <w:rPr>
          <w:rFonts w:asciiTheme="majorHAnsi" w:hAnsiTheme="majorHAnsi"/>
          <w:sz w:val="24"/>
          <w:szCs w:val="24"/>
        </w:rPr>
        <w:t>Hong Kong</w:t>
      </w:r>
      <w:r w:rsidR="002D622A" w:rsidRPr="0046082C">
        <w:rPr>
          <w:rFonts w:asciiTheme="majorHAnsi" w:hAnsiTheme="majorHAnsi"/>
          <w:sz w:val="24"/>
          <w:szCs w:val="24"/>
        </w:rPr>
        <w:t xml:space="preserve"> </w:t>
      </w:r>
      <w:r w:rsidRPr="0046082C">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F03EF29"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E40E0A">
        <w:rPr>
          <w:rFonts w:asciiTheme="majorHAnsi" w:hAnsiTheme="majorHAnsi"/>
          <w:szCs w:val="24"/>
        </w:rPr>
        <w:t xml:space="preserve"> </w:t>
      </w:r>
      <w:bookmarkStart w:id="0" w:name="_GoBack"/>
      <w:proofErr w:type="spellStart"/>
      <w:r w:rsidR="00BC2048">
        <w:rPr>
          <w:rFonts w:asciiTheme="majorHAnsi" w:hAnsiTheme="majorHAnsi"/>
          <w:b/>
          <w:szCs w:val="24"/>
        </w:rPr>
        <w:t>xn</w:t>
      </w:r>
      <w:proofErr w:type="spellEnd"/>
      <w:r w:rsidR="00BC2048">
        <w:rPr>
          <w:rFonts w:asciiTheme="majorHAnsi" w:hAnsiTheme="majorHAnsi"/>
          <w:b/>
          <w:szCs w:val="24"/>
        </w:rPr>
        <w:t>--45q11</w:t>
      </w:r>
      <w:r w:rsidR="00E40E0A" w:rsidRPr="00E40E0A">
        <w:rPr>
          <w:rFonts w:asciiTheme="majorHAnsi" w:hAnsiTheme="majorHAnsi"/>
          <w:b/>
          <w:szCs w:val="24"/>
        </w:rPr>
        <w:t>c</w:t>
      </w:r>
      <w:bookmarkEnd w:id="0"/>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spellStart"/>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830655F" w14:textId="6C67D17B" w:rsidR="0046082C" w:rsidRDefault="005332B6" w:rsidP="0046082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46082C">
        <w:rPr>
          <w:rFonts w:asciiTheme="majorHAnsi" w:hAnsiTheme="majorHAnsi"/>
          <w:sz w:val="24"/>
          <w:szCs w:val="24"/>
        </w:rPr>
        <w:t>If to Registry Operator, addressed to:</w:t>
      </w:r>
      <w:r w:rsidRPr="0046082C">
        <w:rPr>
          <w:rFonts w:asciiTheme="majorHAnsi" w:hAnsiTheme="majorHAnsi"/>
          <w:sz w:val="24"/>
          <w:szCs w:val="24"/>
        </w:rPr>
        <w:br/>
      </w:r>
      <w:r w:rsidR="00022DF2">
        <w:rPr>
          <w:rFonts w:asciiTheme="majorHAnsi" w:hAnsiTheme="majorHAnsi"/>
          <w:sz w:val="24"/>
          <w:szCs w:val="24"/>
        </w:rPr>
        <w:t xml:space="preserve">Zodiac </w:t>
      </w:r>
      <w:r w:rsidR="00E40E0A">
        <w:rPr>
          <w:rFonts w:asciiTheme="majorHAnsi" w:hAnsiTheme="majorHAnsi"/>
          <w:sz w:val="24"/>
          <w:szCs w:val="24"/>
        </w:rPr>
        <w:t>Scorpio</w:t>
      </w:r>
      <w:r w:rsidR="00022DF2">
        <w:rPr>
          <w:rFonts w:asciiTheme="majorHAnsi" w:hAnsiTheme="majorHAnsi"/>
          <w:sz w:val="24"/>
          <w:szCs w:val="24"/>
        </w:rPr>
        <w:t xml:space="preserve"> Limited</w:t>
      </w:r>
      <w:r w:rsidRPr="0046082C">
        <w:rPr>
          <w:rFonts w:asciiTheme="majorHAnsi" w:hAnsiTheme="majorHAnsi"/>
          <w:sz w:val="24"/>
          <w:szCs w:val="24"/>
        </w:rPr>
        <w:br/>
      </w:r>
      <w:r w:rsidR="0046082C" w:rsidRPr="0046082C">
        <w:rPr>
          <w:rFonts w:asciiTheme="majorHAnsi" w:eastAsia="DFKai-SB" w:hAnsiTheme="majorHAnsi" w:cs="Arial"/>
          <w:sz w:val="24"/>
          <w:szCs w:val="24"/>
        </w:rPr>
        <w:t xml:space="preserve">Unit 403 Block B, Horizon International Tower, </w:t>
      </w:r>
    </w:p>
    <w:p w14:paraId="253C2F01" w14:textId="13ADA6C3" w:rsidR="0046082C" w:rsidRPr="0046082C" w:rsidRDefault="0046082C" w:rsidP="0046082C">
      <w:pPr>
        <w:widowControl w:val="0"/>
        <w:autoSpaceDE w:val="0"/>
        <w:autoSpaceDN w:val="0"/>
        <w:adjustRightInd w:val="0"/>
        <w:ind w:left="1440"/>
        <w:rPr>
          <w:rFonts w:asciiTheme="majorHAnsi" w:eastAsia="DFKai-SB" w:hAnsiTheme="majorHAnsi" w:cs="Arial"/>
          <w:sz w:val="24"/>
          <w:szCs w:val="24"/>
        </w:rPr>
      </w:pPr>
      <w:r w:rsidRPr="0046082C">
        <w:rPr>
          <w:rFonts w:asciiTheme="majorHAnsi" w:eastAsia="DFKai-SB" w:hAnsiTheme="majorHAnsi" w:cs="Arial"/>
          <w:sz w:val="24"/>
          <w:szCs w:val="24"/>
        </w:rPr>
        <w:t xml:space="preserve">No.6 </w:t>
      </w:r>
      <w:proofErr w:type="spellStart"/>
      <w:r w:rsidRPr="0046082C">
        <w:rPr>
          <w:rFonts w:asciiTheme="majorHAnsi" w:eastAsia="DFKai-SB" w:hAnsiTheme="majorHAnsi" w:cs="Arial"/>
          <w:sz w:val="24"/>
          <w:szCs w:val="24"/>
        </w:rPr>
        <w:t>Zhichun</w:t>
      </w:r>
      <w:proofErr w:type="spellEnd"/>
      <w:r w:rsidRPr="0046082C">
        <w:rPr>
          <w:rFonts w:asciiTheme="majorHAnsi" w:eastAsia="DFKai-SB" w:hAnsiTheme="majorHAnsi" w:cs="Arial"/>
          <w:sz w:val="24"/>
          <w:szCs w:val="24"/>
        </w:rPr>
        <w:t xml:space="preserve"> Road, </w:t>
      </w:r>
      <w:proofErr w:type="spellStart"/>
      <w:r w:rsidRPr="0046082C">
        <w:rPr>
          <w:rFonts w:asciiTheme="majorHAnsi" w:eastAsia="DFKai-SB" w:hAnsiTheme="majorHAnsi" w:cs="Arial"/>
          <w:sz w:val="24"/>
          <w:szCs w:val="24"/>
        </w:rPr>
        <w:t>Haidian</w:t>
      </w:r>
      <w:proofErr w:type="spellEnd"/>
    </w:p>
    <w:p w14:paraId="10E40365" w14:textId="596EBD53" w:rsidR="0046082C" w:rsidRPr="0046082C" w:rsidRDefault="0046082C" w:rsidP="0046082C">
      <w:pPr>
        <w:widowControl w:val="0"/>
        <w:autoSpaceDE w:val="0"/>
        <w:autoSpaceDN w:val="0"/>
        <w:adjustRightInd w:val="0"/>
        <w:ind w:left="1440"/>
        <w:rPr>
          <w:rFonts w:asciiTheme="majorHAnsi" w:eastAsia="DFKai-SB" w:hAnsiTheme="majorHAnsi" w:cs="Arial"/>
          <w:sz w:val="24"/>
          <w:szCs w:val="24"/>
        </w:rPr>
      </w:pPr>
      <w:r w:rsidRPr="0046082C">
        <w:rPr>
          <w:rFonts w:asciiTheme="majorHAnsi" w:eastAsia="DFKai-SB" w:hAnsiTheme="majorHAnsi" w:cs="Arial"/>
          <w:sz w:val="24"/>
          <w:szCs w:val="24"/>
        </w:rPr>
        <w:t>Beijing, Beijing 100088</w:t>
      </w:r>
    </w:p>
    <w:p w14:paraId="25C106E0" w14:textId="6ED7BDC5" w:rsidR="0046082C" w:rsidRPr="0046082C" w:rsidRDefault="0046082C" w:rsidP="0046082C">
      <w:pPr>
        <w:pStyle w:val="BodyTextIndent"/>
        <w:spacing w:after="0"/>
        <w:rPr>
          <w:rFonts w:asciiTheme="majorHAnsi" w:hAnsiTheme="majorHAnsi"/>
          <w:sz w:val="24"/>
          <w:szCs w:val="24"/>
        </w:rPr>
      </w:pPr>
      <w:r w:rsidRPr="0046082C">
        <w:rPr>
          <w:rFonts w:asciiTheme="majorHAnsi" w:eastAsia="DFKai-SB" w:hAnsiTheme="majorHAnsi" w:cs="Arial"/>
          <w:sz w:val="24"/>
          <w:szCs w:val="24"/>
        </w:rPr>
        <w:t>CN</w:t>
      </w:r>
    </w:p>
    <w:p w14:paraId="223E1122" w14:textId="20665A81" w:rsidR="00115B11" w:rsidRPr="0046082C" w:rsidRDefault="005332B6">
      <w:pPr>
        <w:pStyle w:val="BodyTextIndent"/>
        <w:spacing w:after="0"/>
        <w:rPr>
          <w:rFonts w:asciiTheme="majorHAnsi" w:hAnsiTheme="majorHAnsi"/>
          <w:sz w:val="24"/>
          <w:szCs w:val="24"/>
        </w:rPr>
      </w:pPr>
      <w:r w:rsidRPr="0046082C">
        <w:rPr>
          <w:rFonts w:asciiTheme="majorHAnsi" w:hAnsiTheme="majorHAnsi"/>
          <w:sz w:val="24"/>
          <w:szCs w:val="24"/>
        </w:rPr>
        <w:t xml:space="preserve">Telephone:  </w:t>
      </w:r>
      <w:r w:rsidR="003248F3" w:rsidRPr="0046082C">
        <w:rPr>
          <w:rFonts w:asciiTheme="majorHAnsi" w:hAnsiTheme="majorHAnsi"/>
          <w:sz w:val="24"/>
          <w:szCs w:val="24"/>
        </w:rPr>
        <w:t>+</w:t>
      </w:r>
      <w:r w:rsidR="0046082C" w:rsidRPr="0046082C">
        <w:rPr>
          <w:rFonts w:asciiTheme="majorHAnsi" w:hAnsiTheme="majorHAnsi"/>
          <w:sz w:val="24"/>
          <w:szCs w:val="24"/>
        </w:rPr>
        <w:t>86.14714308360</w:t>
      </w:r>
      <w:r w:rsidRPr="0046082C">
        <w:rPr>
          <w:rFonts w:asciiTheme="majorHAnsi" w:hAnsiTheme="majorHAnsi"/>
          <w:sz w:val="24"/>
          <w:szCs w:val="24"/>
        </w:rPr>
        <w:br/>
        <w:t xml:space="preserve">Facsimile:  </w:t>
      </w:r>
      <w:r w:rsidR="00022DF2" w:rsidRPr="00022DF2">
        <w:rPr>
          <w:rFonts w:asciiTheme="majorHAnsi" w:hAnsiTheme="majorHAnsi"/>
          <w:sz w:val="24"/>
          <w:szCs w:val="24"/>
        </w:rPr>
        <w:t>+8</w:t>
      </w:r>
      <w:r w:rsidR="00A25E28">
        <w:rPr>
          <w:rFonts w:asciiTheme="majorHAnsi" w:hAnsiTheme="majorHAnsi"/>
          <w:sz w:val="24"/>
          <w:szCs w:val="24"/>
        </w:rPr>
        <w:t>6.1082961269</w:t>
      </w:r>
      <w:r w:rsidRPr="0046082C">
        <w:rPr>
          <w:rFonts w:asciiTheme="majorHAnsi" w:hAnsiTheme="majorHAnsi"/>
          <w:sz w:val="24"/>
          <w:szCs w:val="24"/>
        </w:rPr>
        <w:br/>
        <w:t xml:space="preserve">Attention:  </w:t>
      </w:r>
      <w:r w:rsidR="0046082C">
        <w:rPr>
          <w:rFonts w:asciiTheme="majorHAnsi" w:hAnsiTheme="majorHAnsi"/>
          <w:sz w:val="24"/>
          <w:szCs w:val="24"/>
        </w:rPr>
        <w:t>Allan Ma</w:t>
      </w:r>
      <w:r w:rsidRPr="0046082C">
        <w:rPr>
          <w:rFonts w:asciiTheme="majorHAnsi" w:hAnsiTheme="majorHAnsi"/>
          <w:sz w:val="24"/>
          <w:szCs w:val="24"/>
        </w:rPr>
        <w:t xml:space="preserve">, </w:t>
      </w:r>
      <w:r w:rsidR="0046082C">
        <w:rPr>
          <w:rFonts w:asciiTheme="majorHAnsi" w:hAnsiTheme="majorHAnsi"/>
          <w:sz w:val="24"/>
          <w:szCs w:val="24"/>
        </w:rPr>
        <w:t>General Counsel</w:t>
      </w:r>
    </w:p>
    <w:p w14:paraId="42241A9F" w14:textId="0429FA2A"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46082C" w:rsidRPr="0046082C">
        <w:rPr>
          <w:rFonts w:asciiTheme="majorHAnsi" w:hAnsiTheme="majorHAnsi"/>
          <w:sz w:val="24"/>
          <w:szCs w:val="24"/>
        </w:rPr>
        <w:t>allan.ma@zodiacregistry.com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522280C2" w:rsidR="00115B11" w:rsidRPr="0046082C" w:rsidRDefault="00022DF2">
      <w:pPr>
        <w:pStyle w:val="BodyText"/>
        <w:rPr>
          <w:rFonts w:asciiTheme="majorHAnsi" w:hAnsiTheme="majorHAnsi"/>
          <w:b/>
          <w:sz w:val="24"/>
          <w:szCs w:val="24"/>
        </w:rPr>
      </w:pPr>
      <w:r>
        <w:rPr>
          <w:rFonts w:asciiTheme="majorHAnsi" w:hAnsiTheme="majorHAnsi"/>
          <w:b/>
          <w:sz w:val="24"/>
          <w:szCs w:val="24"/>
        </w:rPr>
        <w:t xml:space="preserve">ZODIAC </w:t>
      </w:r>
      <w:r w:rsidR="00E40E0A">
        <w:rPr>
          <w:rFonts w:asciiTheme="majorHAnsi" w:hAnsiTheme="majorHAnsi"/>
          <w:b/>
          <w:sz w:val="24"/>
          <w:szCs w:val="24"/>
        </w:rPr>
        <w:t>SCORPIO</w:t>
      </w:r>
      <w:r>
        <w:rPr>
          <w:rFonts w:asciiTheme="majorHAnsi" w:hAnsiTheme="majorHAnsi"/>
          <w:b/>
          <w:sz w:val="24"/>
          <w:szCs w:val="24"/>
        </w:rPr>
        <w:t xml:space="preserve"> LIMITED</w:t>
      </w:r>
    </w:p>
    <w:p w14:paraId="5FAF48B3" w14:textId="77777777" w:rsidR="003248F3" w:rsidRPr="0046082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proofErr w:type="spellStart"/>
      <w:r w:rsidR="003248F3" w:rsidRPr="0046082C">
        <w:rPr>
          <w:rFonts w:asciiTheme="majorHAnsi" w:hAnsiTheme="majorHAnsi"/>
          <w:sz w:val="24"/>
          <w:szCs w:val="24"/>
        </w:rPr>
        <w:t>Ching</w:t>
      </w:r>
      <w:proofErr w:type="spellEnd"/>
      <w:r w:rsidR="003248F3" w:rsidRPr="0046082C">
        <w:rPr>
          <w:rFonts w:asciiTheme="majorHAnsi" w:hAnsiTheme="majorHAnsi"/>
          <w:sz w:val="24"/>
          <w:szCs w:val="24"/>
        </w:rPr>
        <w:t xml:space="preserve"> Hong </w:t>
      </w:r>
      <w:proofErr w:type="spellStart"/>
      <w:r w:rsidR="003248F3" w:rsidRPr="0046082C">
        <w:rPr>
          <w:rFonts w:asciiTheme="majorHAnsi" w:hAnsiTheme="majorHAnsi"/>
          <w:sz w:val="24"/>
          <w:szCs w:val="24"/>
        </w:rPr>
        <w:t>Seng</w:t>
      </w:r>
      <w:proofErr w:type="spellEnd"/>
    </w:p>
    <w:p w14:paraId="291A593F" w14:textId="2F624105"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46082C">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34F9DBDD" w14:textId="77777777" w:rsidR="00115B11" w:rsidRDefault="005332B6">
      <w:pPr>
        <w:pStyle w:val="BlockText"/>
        <w:jc w:val="center"/>
        <w:rPr>
          <w:rFonts w:asciiTheme="majorHAnsi" w:hAnsiTheme="majorHAnsi"/>
          <w:b/>
          <w:sz w:val="24"/>
          <w:szCs w:val="24"/>
        </w:rPr>
      </w:pPr>
      <w:r w:rsidRPr="00F24E9B">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0B4BAF15" w14:textId="77777777" w:rsidR="001F7D3C" w:rsidRPr="007219B2" w:rsidRDefault="001F7D3C" w:rsidP="001F7D3C">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1886EE0" w14:textId="77777777" w:rsidR="001F7D3C" w:rsidRPr="00DA1C2B" w:rsidRDefault="001F7D3C" w:rsidP="001F7D3C">
      <w:pPr>
        <w:pStyle w:val="ListParagraph"/>
        <w:widowControl w:val="0"/>
        <w:numPr>
          <w:ilvl w:val="0"/>
          <w:numId w:val="43"/>
        </w:numPr>
        <w:autoSpaceDE w:val="0"/>
        <w:autoSpaceDN w:val="0"/>
        <w:adjustRightInd w:val="0"/>
        <w:spacing w:after="260"/>
      </w:pPr>
      <w:r w:rsidRPr="00F727DB">
        <w:rPr>
          <w:rFonts w:ascii="Cambria" w:hAnsi="Cambria" w:cs="Cambria"/>
          <w:b/>
          <w:bCs/>
        </w:rPr>
        <w:t>DNS Service – TLD Zone Contents</w:t>
      </w:r>
    </w:p>
    <w:p w14:paraId="1A1274B3" w14:textId="77777777" w:rsidR="001F7D3C" w:rsidRPr="00DA1C2B" w:rsidRDefault="001F7D3C" w:rsidP="001F7D3C">
      <w:pPr>
        <w:widowControl w:val="0"/>
        <w:autoSpaceDE w:val="0"/>
        <w:autoSpaceDN w:val="0"/>
        <w:adjustRightInd w:val="0"/>
        <w:spacing w:after="260"/>
        <w:ind w:left="480"/>
      </w:pPr>
      <w:r w:rsidRPr="00DA1C2B">
        <w:rPr>
          <w:rFonts w:ascii="Cambria" w:hAnsi="Cambria" w:cs="Cambria"/>
        </w:rPr>
        <w:t xml:space="preserve">Notwithstanding anything else in this Agreement, as indicated in section 2.2.3.3 of the </w:t>
      </w:r>
      <w:proofErr w:type="spellStart"/>
      <w:r w:rsidRPr="00DA1C2B">
        <w:rPr>
          <w:rFonts w:ascii="Cambria" w:hAnsi="Cambria" w:cs="Cambria"/>
        </w:rPr>
        <w:t>gTLD</w:t>
      </w:r>
      <w:proofErr w:type="spellEnd"/>
      <w:r w:rsidRPr="00DA1C2B">
        <w:rPr>
          <w:rFonts w:ascii="Cambria" w:hAnsi="Cambria" w:cs="Cambria"/>
        </w:rPr>
        <w:t xml:space="preserve"> Applicant Guidebook, permissible contents for the TLD’s zone are:</w:t>
      </w:r>
    </w:p>
    <w:p w14:paraId="5113AB1A" w14:textId="77777777" w:rsidR="001F7D3C" w:rsidRPr="00DA1C2B" w:rsidRDefault="001F7D3C" w:rsidP="001F7D3C">
      <w:pPr>
        <w:widowControl w:val="0"/>
        <w:autoSpaceDE w:val="0"/>
        <w:autoSpaceDN w:val="0"/>
        <w:adjustRightInd w:val="0"/>
        <w:spacing w:after="260"/>
        <w:ind w:left="1520" w:hanging="560"/>
      </w:pPr>
      <w:r w:rsidRPr="00DA1C2B">
        <w:rPr>
          <w:rFonts w:ascii="Cambria" w:hAnsi="Cambria" w:cs="Cambria"/>
          <w:b/>
          <w:bCs/>
        </w:rPr>
        <w:t>1.1.</w:t>
      </w:r>
      <w:r w:rsidRPr="00DA1C2B">
        <w:t xml:space="preserve"> </w:t>
      </w:r>
      <w:r w:rsidRPr="00DA1C2B">
        <w:rPr>
          <w:rFonts w:ascii="Cambria" w:hAnsi="Cambria" w:cs="Cambria"/>
        </w:rPr>
        <w:t>Apex SOA record</w:t>
      </w:r>
    </w:p>
    <w:p w14:paraId="7A97E77F" w14:textId="77777777" w:rsidR="001F7D3C" w:rsidRPr="00DA1C2B" w:rsidRDefault="001F7D3C" w:rsidP="001F7D3C">
      <w:pPr>
        <w:widowControl w:val="0"/>
        <w:autoSpaceDE w:val="0"/>
        <w:autoSpaceDN w:val="0"/>
        <w:adjustRightInd w:val="0"/>
        <w:spacing w:after="260"/>
        <w:ind w:left="1520" w:hanging="560"/>
      </w:pPr>
      <w:r w:rsidRPr="00DA1C2B">
        <w:rPr>
          <w:rFonts w:ascii="Cambria" w:hAnsi="Cambria" w:cs="Cambria"/>
          <w:b/>
          <w:bCs/>
        </w:rPr>
        <w:t>1.2.</w:t>
      </w:r>
      <w:r w:rsidRPr="00DA1C2B">
        <w:t xml:space="preserve"> </w:t>
      </w:r>
      <w:r w:rsidRPr="00DA1C2B">
        <w:rPr>
          <w:rFonts w:ascii="Cambria" w:hAnsi="Cambria" w:cs="Cambria"/>
        </w:rPr>
        <w:t>Apex NS records and in-bailiwick glue for the TLD’s DNS servers</w:t>
      </w:r>
    </w:p>
    <w:p w14:paraId="3098F849" w14:textId="77777777" w:rsidR="001F7D3C" w:rsidRPr="00DA1C2B" w:rsidRDefault="001F7D3C" w:rsidP="001F7D3C">
      <w:pPr>
        <w:widowControl w:val="0"/>
        <w:autoSpaceDE w:val="0"/>
        <w:autoSpaceDN w:val="0"/>
        <w:adjustRightInd w:val="0"/>
        <w:spacing w:after="260"/>
        <w:ind w:left="1520" w:hanging="560"/>
      </w:pPr>
      <w:r w:rsidRPr="00DA1C2B">
        <w:rPr>
          <w:rFonts w:ascii="Cambria" w:hAnsi="Cambria" w:cs="Cambria"/>
          <w:b/>
          <w:bCs/>
        </w:rPr>
        <w:t>1.3.</w:t>
      </w:r>
      <w:r w:rsidRPr="00DA1C2B">
        <w:t xml:space="preserve"> </w:t>
      </w:r>
      <w:r w:rsidRPr="00DA1C2B">
        <w:rPr>
          <w:rFonts w:ascii="Cambria" w:hAnsi="Cambria" w:cs="Cambria"/>
        </w:rPr>
        <w:t>NS records and in-bailiwick glue for DNS servers of registered names in the TLD</w:t>
      </w:r>
    </w:p>
    <w:p w14:paraId="7779D9D0" w14:textId="77777777" w:rsidR="001F7D3C" w:rsidRPr="00DA1C2B" w:rsidRDefault="001F7D3C" w:rsidP="001F7D3C">
      <w:pPr>
        <w:widowControl w:val="0"/>
        <w:autoSpaceDE w:val="0"/>
        <w:autoSpaceDN w:val="0"/>
        <w:adjustRightInd w:val="0"/>
        <w:spacing w:after="260"/>
        <w:ind w:left="1520" w:hanging="560"/>
      </w:pPr>
      <w:r w:rsidRPr="00DA1C2B">
        <w:rPr>
          <w:rFonts w:ascii="Cambria" w:hAnsi="Cambria" w:cs="Cambria"/>
          <w:b/>
          <w:bCs/>
        </w:rPr>
        <w:t>1.4.</w:t>
      </w:r>
      <w:r w:rsidRPr="00DA1C2B">
        <w:t xml:space="preserve"> </w:t>
      </w:r>
      <w:r w:rsidRPr="00DA1C2B">
        <w:rPr>
          <w:rFonts w:ascii="Cambria" w:hAnsi="Cambria" w:cs="Cambria"/>
        </w:rPr>
        <w:t>DS records for registered names in the TLD</w:t>
      </w:r>
    </w:p>
    <w:p w14:paraId="18A603D7" w14:textId="77777777" w:rsidR="001F7D3C" w:rsidRPr="00DA1C2B" w:rsidRDefault="001F7D3C" w:rsidP="001F7D3C">
      <w:pPr>
        <w:widowControl w:val="0"/>
        <w:autoSpaceDE w:val="0"/>
        <w:autoSpaceDN w:val="0"/>
        <w:adjustRightInd w:val="0"/>
        <w:spacing w:after="260"/>
        <w:ind w:left="1520" w:hanging="560"/>
      </w:pPr>
      <w:r w:rsidRPr="00DA1C2B">
        <w:rPr>
          <w:rFonts w:ascii="Cambria" w:hAnsi="Cambria" w:cs="Cambria"/>
          <w:b/>
          <w:bCs/>
        </w:rPr>
        <w:t>1.5.</w:t>
      </w:r>
      <w:r w:rsidRPr="00DA1C2B">
        <w:t xml:space="preserve"> </w:t>
      </w:r>
      <w:r w:rsidRPr="00DA1C2B">
        <w:rPr>
          <w:rFonts w:ascii="Cambria" w:hAnsi="Cambria" w:cs="Cambria"/>
        </w:rPr>
        <w:t>Records associated with signing the TLD zone (i.e., RRSIG, DNSKEY, NSEC, and NSEC3)</w:t>
      </w:r>
    </w:p>
    <w:p w14:paraId="33EE0B93" w14:textId="77777777" w:rsidR="001F7D3C" w:rsidRPr="00DA1C2B" w:rsidRDefault="001F7D3C" w:rsidP="001F7D3C">
      <w:pPr>
        <w:widowControl w:val="0"/>
        <w:autoSpaceDE w:val="0"/>
        <w:autoSpaceDN w:val="0"/>
        <w:adjustRightInd w:val="0"/>
        <w:spacing w:after="260"/>
        <w:ind w:left="480"/>
      </w:pPr>
      <w:r w:rsidRPr="00DA1C2B">
        <w:rPr>
          <w:rFonts w:ascii="Cambria" w:hAnsi="Cambria" w:cs="Cambria"/>
        </w:rPr>
        <w:t xml:space="preserve">(Note:  The above language effectively does not allow, among other things, the inclusion of DNS resource records that would enable a </w:t>
      </w:r>
      <w:proofErr w:type="spellStart"/>
      <w:r w:rsidRPr="00DA1C2B">
        <w:rPr>
          <w:rFonts w:ascii="Cambria" w:hAnsi="Cambria" w:cs="Cambria"/>
        </w:rPr>
        <w:t>dotless</w:t>
      </w:r>
      <w:proofErr w:type="spellEnd"/>
      <w:r w:rsidRPr="00DA1C2B">
        <w:rPr>
          <w:rFonts w:ascii="Cambria" w:hAnsi="Cambria" w:cs="Cambria"/>
        </w:rPr>
        <w:t xml:space="preserve"> domain name (e.g., apex A, AAAA, MX records) in the TLD zone.)</w:t>
      </w:r>
    </w:p>
    <w:p w14:paraId="4E3ED048" w14:textId="77777777" w:rsidR="001F7D3C" w:rsidRPr="00DA1C2B" w:rsidRDefault="001F7D3C" w:rsidP="001F7D3C">
      <w:pPr>
        <w:widowControl w:val="0"/>
        <w:autoSpaceDE w:val="0"/>
        <w:autoSpaceDN w:val="0"/>
        <w:adjustRightInd w:val="0"/>
        <w:spacing w:after="260"/>
        <w:ind w:left="480"/>
      </w:pPr>
      <w:r w:rsidRPr="00DA1C2B">
        <w:rPr>
          <w:rFonts w:ascii="Cambria" w:hAnsi="Cambria" w:cs="Cambria"/>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AC937BE" w14:textId="77777777" w:rsidR="001F7D3C" w:rsidRPr="00F727DB" w:rsidRDefault="001F7D3C" w:rsidP="001F7D3C">
      <w:pPr>
        <w:pStyle w:val="ListParagraph"/>
        <w:numPr>
          <w:ilvl w:val="0"/>
          <w:numId w:val="43"/>
        </w:numPr>
        <w:spacing w:before="480" w:after="200" w:line="276" w:lineRule="auto"/>
        <w:outlineLvl w:val="0"/>
        <w:rPr>
          <w:rFonts w:ascii="Cambria" w:eastAsia="Arial" w:hAnsi="Cambria" w:cs="Arial"/>
          <w:b/>
          <w:color w:val="000000"/>
          <w:szCs w:val="22"/>
          <w:lang w:eastAsia="ja-JP"/>
        </w:rPr>
      </w:pPr>
      <w:r w:rsidRPr="00F727DB">
        <w:rPr>
          <w:rFonts w:ascii="Cambria" w:eastAsia="Arial" w:hAnsi="Cambria" w:cs="Arial"/>
          <w:b/>
          <w:color w:val="000000"/>
          <w:szCs w:val="22"/>
          <w:lang w:eastAsia="ja-JP"/>
        </w:rPr>
        <w:t>Internationalized Domain Names (IDNs)</w:t>
      </w:r>
    </w:p>
    <w:p w14:paraId="746C48D7" w14:textId="77777777" w:rsidR="001F7D3C" w:rsidRPr="00983BFF" w:rsidRDefault="001F7D3C" w:rsidP="001F7D3C">
      <w:pPr>
        <w:spacing w:after="200"/>
        <w:ind w:left="45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933519E" w14:textId="77777777" w:rsidR="001F7D3C" w:rsidRPr="00983BFF" w:rsidRDefault="001F7D3C" w:rsidP="001F7D3C">
      <w:pPr>
        <w:numPr>
          <w:ilvl w:val="1"/>
          <w:numId w:val="42"/>
        </w:numPr>
        <w:spacing w:after="200"/>
        <w:ind w:left="1440" w:hanging="45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40CF21CB" w14:textId="77777777" w:rsidR="001F7D3C" w:rsidRPr="00983BFF" w:rsidRDefault="001F7D3C" w:rsidP="001F7D3C">
      <w:pPr>
        <w:numPr>
          <w:ilvl w:val="1"/>
          <w:numId w:val="42"/>
        </w:numPr>
        <w:spacing w:after="200"/>
        <w:ind w:left="1440" w:hanging="45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65504B46" w14:textId="77777777" w:rsidR="001F7D3C" w:rsidRPr="00983BFF" w:rsidRDefault="001F7D3C" w:rsidP="001F7D3C">
      <w:pPr>
        <w:numPr>
          <w:ilvl w:val="2"/>
          <w:numId w:val="42"/>
        </w:numPr>
        <w:spacing w:after="200"/>
        <w:ind w:left="2160" w:hanging="720"/>
        <w:rPr>
          <w:rFonts w:ascii="Cambria" w:eastAsia="Arial" w:hAnsi="Cambria" w:cs="Arial"/>
          <w:color w:val="000000"/>
          <w:szCs w:val="22"/>
          <w:lang w:eastAsia="ja-JP"/>
        </w:rPr>
      </w:pPr>
      <w:r w:rsidRPr="00983BFF">
        <w:rPr>
          <w:rFonts w:ascii="Cambria" w:eastAsia="Arial" w:hAnsi="Cambria" w:cs="Arial"/>
          <w:color w:val="000000"/>
          <w:szCs w:val="22"/>
          <w:lang w:eastAsia="ja-JP"/>
        </w:rPr>
        <w:lastRenderedPageBreak/>
        <w:t xml:space="preserve">By default variant IDNs (as defined in the Registry Operator’s IDN tables and IDN Registration Rules) must be </w:t>
      </w:r>
      <w:r>
        <w:rPr>
          <w:rFonts w:ascii="Cambria" w:eastAsia="Arial" w:hAnsi="Cambria" w:cs="Arial"/>
          <w:color w:val="000000"/>
          <w:szCs w:val="22"/>
          <w:lang w:eastAsia="ja-JP"/>
        </w:rPr>
        <w:t>blocked</w:t>
      </w:r>
      <w:r w:rsidRPr="00983BFF">
        <w:rPr>
          <w:rFonts w:ascii="Cambria" w:eastAsia="Arial" w:hAnsi="Cambria" w:cs="Arial"/>
          <w:color w:val="000000"/>
          <w:szCs w:val="22"/>
          <w:lang w:eastAsia="ja-JP"/>
        </w:rPr>
        <w:t xml:space="preserve"> from registration.</w:t>
      </w:r>
    </w:p>
    <w:p w14:paraId="5464B729" w14:textId="77777777" w:rsidR="001F7D3C" w:rsidRDefault="001F7D3C" w:rsidP="001F7D3C">
      <w:pPr>
        <w:numPr>
          <w:ilvl w:val="2"/>
          <w:numId w:val="42"/>
        </w:numPr>
        <w:spacing w:after="200"/>
        <w:ind w:left="2160" w:hanging="720"/>
        <w:rPr>
          <w:rFonts w:ascii="Cambria" w:eastAsia="Arial" w:hAnsi="Cambria" w:cs="Arial"/>
          <w:color w:val="000000"/>
          <w:szCs w:val="22"/>
          <w:lang w:eastAsia="ja-JP"/>
        </w:rPr>
      </w:pPr>
      <w:r w:rsidRPr="00983BFF">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36D38DF7" w14:textId="77777777" w:rsidR="001F7D3C" w:rsidRDefault="001F7D3C" w:rsidP="001F7D3C">
      <w:pPr>
        <w:numPr>
          <w:ilvl w:val="2"/>
          <w:numId w:val="42"/>
        </w:numPr>
        <w:spacing w:after="200"/>
        <w:ind w:left="2160" w:hanging="720"/>
        <w:rPr>
          <w:rFonts w:ascii="Cambria" w:eastAsia="Arial" w:hAnsi="Cambria" w:cs="Arial"/>
          <w:color w:val="000000"/>
          <w:szCs w:val="22"/>
          <w:lang w:eastAsia="ja-JP"/>
        </w:rPr>
      </w:pPr>
      <w:r w:rsidRPr="00983BFF">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6CFA100C" w14:textId="77777777" w:rsidR="001F7D3C" w:rsidRPr="00983BFF" w:rsidRDefault="001F7D3C" w:rsidP="001F7D3C">
      <w:pPr>
        <w:numPr>
          <w:ilvl w:val="1"/>
          <w:numId w:val="42"/>
        </w:numPr>
        <w:spacing w:after="200"/>
        <w:ind w:left="1440" w:hanging="52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0469BF6" w14:textId="77777777" w:rsidR="001F7D3C" w:rsidRPr="00983BFF" w:rsidRDefault="001F7D3C" w:rsidP="001F7D3C">
      <w:pPr>
        <w:numPr>
          <w:ilvl w:val="2"/>
          <w:numId w:val="44"/>
        </w:numPr>
        <w:spacing w:after="200"/>
        <w:ind w:left="2160" w:hanging="720"/>
        <w:rPr>
          <w:rFonts w:ascii="Cambria" w:eastAsia="Arial" w:hAnsi="Cambria" w:cs="Arial"/>
          <w:color w:val="000000"/>
          <w:szCs w:val="22"/>
          <w:lang w:eastAsia="ja-JP"/>
        </w:rPr>
      </w:pPr>
      <w:r w:rsidRPr="00983BFF">
        <w:rPr>
          <w:rFonts w:ascii="Cambria" w:eastAsia="Arial" w:hAnsi="Cambria" w:cs="Arial"/>
          <w:color w:val="000000"/>
          <w:szCs w:val="22"/>
          <w:lang w:eastAsia="ja-JP"/>
        </w:rPr>
        <w:t>Chinese Language</w:t>
      </w:r>
    </w:p>
    <w:p w14:paraId="3FDA1318" w14:textId="77777777" w:rsidR="001F7D3C" w:rsidRPr="00DA1C2B" w:rsidRDefault="001F7D3C" w:rsidP="001F7D3C">
      <w:pPr>
        <w:widowControl w:val="0"/>
        <w:autoSpaceDE w:val="0"/>
        <w:autoSpaceDN w:val="0"/>
        <w:adjustRightInd w:val="0"/>
        <w:spacing w:after="260"/>
        <w:ind w:left="960" w:hanging="480"/>
      </w:pPr>
      <w:r w:rsidRPr="00DA1C2B">
        <w:rPr>
          <w:rFonts w:ascii="Cambria" w:hAnsi="Cambria" w:cs="Cambria"/>
          <w:b/>
          <w:bCs/>
        </w:rPr>
        <w:t>3.</w:t>
      </w:r>
      <w:r w:rsidRPr="00DA1C2B">
        <w:t xml:space="preserve">    </w:t>
      </w:r>
      <w:r w:rsidRPr="00DA1C2B">
        <w:rPr>
          <w:rFonts w:ascii="Cambria" w:hAnsi="Cambria" w:cs="Cambria"/>
          <w:b/>
          <w:bCs/>
        </w:rPr>
        <w:t>Anti-Abuse</w:t>
      </w:r>
    </w:p>
    <w:p w14:paraId="2C1B5AAF" w14:textId="77777777" w:rsidR="001F7D3C" w:rsidRPr="00DA1C2B" w:rsidRDefault="001F7D3C" w:rsidP="001F7D3C">
      <w:pPr>
        <w:widowControl w:val="0"/>
        <w:autoSpaceDE w:val="0"/>
        <w:autoSpaceDN w:val="0"/>
        <w:adjustRightInd w:val="0"/>
        <w:spacing w:after="260"/>
        <w:ind w:left="900"/>
      </w:pPr>
      <w:r w:rsidRPr="00DA1C2B">
        <w:rPr>
          <w:rFonts w:ascii="Cambria" w:hAnsi="Cambria" w:cs="Cambria"/>
        </w:rPr>
        <w:t>Registry Operator may suspend, delete or otherwise make changes to domain names in compliance with its anti-abuse policy.</w:t>
      </w:r>
    </w:p>
    <w:p w14:paraId="3072B2AF" w14:textId="77777777" w:rsidR="001F7D3C" w:rsidRPr="00DA1C2B" w:rsidRDefault="001F7D3C" w:rsidP="001F7D3C">
      <w:pPr>
        <w:widowControl w:val="0"/>
        <w:autoSpaceDE w:val="0"/>
        <w:autoSpaceDN w:val="0"/>
        <w:adjustRightInd w:val="0"/>
        <w:spacing w:after="260"/>
        <w:ind w:left="960" w:hanging="480"/>
      </w:pPr>
      <w:r w:rsidRPr="00DA1C2B">
        <w:rPr>
          <w:rFonts w:ascii="Cambria" w:hAnsi="Cambria" w:cs="Cambria"/>
          <w:b/>
          <w:bCs/>
        </w:rPr>
        <w:t>4.</w:t>
      </w:r>
      <w:r w:rsidRPr="00DA1C2B">
        <w:t xml:space="preserve">    </w:t>
      </w:r>
      <w:r w:rsidRPr="00DA1C2B">
        <w:rPr>
          <w:rFonts w:ascii="Cambria" w:hAnsi="Cambria" w:cs="Cambria"/>
          <w:b/>
          <w:bCs/>
        </w:rPr>
        <w:t xml:space="preserve">Searchable </w:t>
      </w:r>
      <w:proofErr w:type="spellStart"/>
      <w:r w:rsidRPr="00DA1C2B">
        <w:rPr>
          <w:rFonts w:ascii="Cambria" w:hAnsi="Cambria" w:cs="Cambria"/>
          <w:b/>
          <w:bCs/>
        </w:rPr>
        <w:t>Whois</w:t>
      </w:r>
      <w:proofErr w:type="spellEnd"/>
    </w:p>
    <w:p w14:paraId="3B3DA583" w14:textId="77777777" w:rsidR="001F7D3C" w:rsidRPr="00DA1C2B" w:rsidRDefault="001F7D3C" w:rsidP="001F7D3C">
      <w:pPr>
        <w:widowControl w:val="0"/>
        <w:autoSpaceDE w:val="0"/>
        <w:autoSpaceDN w:val="0"/>
        <w:adjustRightInd w:val="0"/>
        <w:spacing w:after="320"/>
        <w:ind w:left="900"/>
      </w:pPr>
      <w:r w:rsidRPr="00DA1C2B">
        <w:rPr>
          <w:rFonts w:ascii="Cambria" w:hAnsi="Cambria" w:cs="Cambria"/>
        </w:rPr>
        <w:t xml:space="preserve">Notwithstanding anything else in this Agreement, Registry Operator must offer a searchable </w:t>
      </w:r>
      <w:proofErr w:type="spellStart"/>
      <w:r w:rsidRPr="00DA1C2B">
        <w:rPr>
          <w:rFonts w:ascii="Cambria" w:hAnsi="Cambria" w:cs="Cambria"/>
        </w:rPr>
        <w:t>Whois</w:t>
      </w:r>
      <w:proofErr w:type="spellEnd"/>
      <w:r w:rsidRPr="00DA1C2B">
        <w:rPr>
          <w:rFonts w:ascii="Cambria" w:hAnsi="Cambria" w:cs="Cambria"/>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t>
      </w:r>
      <w:proofErr w:type="spellStart"/>
      <w:r w:rsidRPr="00DA1C2B">
        <w:rPr>
          <w:rFonts w:ascii="Cambria" w:hAnsi="Cambria" w:cs="Cambria"/>
        </w:rPr>
        <w:t>Whois</w:t>
      </w:r>
      <w:proofErr w:type="spellEnd"/>
      <w:r w:rsidRPr="00DA1C2B">
        <w:rPr>
          <w:rFonts w:ascii="Cambria" w:hAnsi="Cambria" w:cs="Cambria"/>
        </w:rPr>
        <w:t xml:space="preserve"> service</w:t>
      </w:r>
      <w:r>
        <w:rPr>
          <w:rFonts w:ascii="Cambria" w:hAnsi="Cambria" w:cs="Cambria"/>
        </w:rPr>
        <w:t>.</w:t>
      </w:r>
    </w:p>
    <w:p w14:paraId="4DBAC637" w14:textId="77777777" w:rsidR="00115B11" w:rsidRDefault="00115B11">
      <w:pPr>
        <w:spacing w:before="100" w:beforeAutospacing="1" w:after="240"/>
        <w:ind w:left="1080"/>
        <w:rPr>
          <w:rFonts w:asciiTheme="majorHAnsi" w:eastAsia="Times New Roman" w:hAnsiTheme="majorHAnsi"/>
          <w:sz w:val="24"/>
          <w:szCs w:val="24"/>
        </w:rPr>
      </w:pP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r>
        <w:rPr>
          <w:rFonts w:asciiTheme="majorHAnsi" w:hAnsiTheme="majorHAnsi"/>
          <w:sz w:val="24"/>
          <w:szCs w:val="24"/>
        </w:rPr>
        <w:t>ext</w:t>
      </w:r>
      <w:proofErr w:type="spell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 xml:space="preserve">domains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 xml:space="preserve">domains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6D59D899"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510AC">
        <w:rPr>
          <w:rFonts w:asciiTheme="majorHAnsi" w:hAnsiTheme="majorHAnsi"/>
          <w:sz w:val="24"/>
          <w:szCs w:val="24"/>
        </w:rPr>
        <w:t xml:space="preserve">.TLD </w:t>
      </w:r>
      <w:r w:rsidR="00A510AC">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510AC">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7C0DFC4" w14:textId="77777777" w:rsidR="00A94BAE" w:rsidRDefault="00A94BAE" w:rsidP="00A94BAE">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4D5545C8" w14:textId="77777777" w:rsidR="00A94BAE" w:rsidRDefault="00A94BAE" w:rsidP="00A94BAE">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5B62F2DB" w14:textId="77777777" w:rsidR="00A94BAE" w:rsidRDefault="00A94BAE" w:rsidP="00A94BAE">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E0B964B" w14:textId="77777777" w:rsidR="00A94BAE" w:rsidRDefault="00A94BAE" w:rsidP="00A94BAE">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D91BA2D" w14:textId="77777777" w:rsidR="00A94BAE" w:rsidRDefault="00A94BAE" w:rsidP="00A94BAE">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AA01ECB" w14:textId="77777777" w:rsidR="00A94BAE" w:rsidRDefault="00A94BAE" w:rsidP="00A94BAE">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6BCA58C4" w14:textId="77777777" w:rsidR="00A94BAE" w:rsidRDefault="00A94BAE" w:rsidP="00A94BAE">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4CBC3D54" w14:textId="77777777" w:rsidR="00A94BAE" w:rsidRDefault="00A94BAE" w:rsidP="00A94BAE">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C89AF88" w14:textId="77777777" w:rsidR="00A94BAE" w:rsidRDefault="00A94BAE" w:rsidP="00A94BAE">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91FE372" w14:textId="77777777" w:rsidR="00A94BAE" w:rsidRDefault="00A94BAE" w:rsidP="00A94BAE">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5765941C" w14:textId="77777777" w:rsidR="00A94BAE" w:rsidRDefault="00A94BAE" w:rsidP="00A94BAE">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6EEFCE36" w14:textId="77777777" w:rsidR="00A94BAE" w:rsidRDefault="00A94BAE" w:rsidP="00A94BAE">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0C6D7DF" w14:textId="77777777" w:rsidR="00A94BAE" w:rsidRDefault="00A94BAE" w:rsidP="00A94BAE">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7542900" w14:textId="77777777" w:rsidR="00A94BAE" w:rsidRDefault="00A94BAE" w:rsidP="00A94BAE">
      <w:pPr>
        <w:pStyle w:val="Spec1L2"/>
        <w:rPr>
          <w:rFonts w:asciiTheme="majorHAnsi" w:hAnsiTheme="majorHAnsi"/>
          <w:b/>
          <w:sz w:val="24"/>
          <w:szCs w:val="24"/>
          <w:u w:val="single"/>
        </w:rPr>
      </w:pPr>
      <w:r>
        <w:rPr>
          <w:rFonts w:asciiTheme="majorHAnsi" w:hAnsiTheme="majorHAnsi"/>
          <w:b/>
          <w:sz w:val="24"/>
          <w:szCs w:val="24"/>
          <w:u w:val="single"/>
        </w:rPr>
        <w:t>Abuse Mitigation</w:t>
      </w:r>
    </w:p>
    <w:p w14:paraId="22B5DE89" w14:textId="77777777" w:rsidR="00A94BAE" w:rsidRDefault="00A94BAE" w:rsidP="00A94BAE">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627048A" w14:textId="77777777" w:rsidR="00A94BAE" w:rsidRDefault="00A94BAE" w:rsidP="00A94BAE">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1E5E2A6" w14:textId="77777777" w:rsidR="00A94BAE" w:rsidRDefault="00A94BAE" w:rsidP="00A94BAE">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3B34BCD7" w14:textId="77777777" w:rsidR="00A94BAE" w:rsidRDefault="00A94BAE" w:rsidP="00A94BAE">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13D6955" w14:textId="77777777" w:rsidR="00A94BAE" w:rsidRDefault="00A94BAE" w:rsidP="00A94BAE">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5BFECAED" w14:textId="77777777" w:rsidR="00A94BAE" w:rsidRPr="00A94BAE" w:rsidRDefault="00A94BAE" w:rsidP="00A94BAE">
      <w:pPr>
        <w:pStyle w:val="Spec1L2"/>
        <w:rPr>
          <w:rFonts w:asciiTheme="majorHAnsi" w:hAnsiTheme="majorHAnsi"/>
          <w:b/>
          <w:sz w:val="24"/>
          <w:szCs w:val="24"/>
          <w:u w:val="single"/>
        </w:rPr>
      </w:pPr>
      <w:r w:rsidRPr="00A94BAE">
        <w:rPr>
          <w:rFonts w:asciiTheme="majorHAnsi" w:hAnsiTheme="majorHAnsi"/>
          <w:b/>
          <w:sz w:val="24"/>
          <w:szCs w:val="24"/>
          <w:u w:val="single"/>
        </w:rPr>
        <w:t>Name Collision Occurrence Management</w:t>
      </w:r>
    </w:p>
    <w:p w14:paraId="58BBD969" w14:textId="77777777" w:rsidR="00A94BAE" w:rsidRPr="00BA4330" w:rsidRDefault="00A94BAE" w:rsidP="00A94BAE">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39907FE4" w14:textId="77777777" w:rsidR="00A94BAE" w:rsidRPr="00BA4330" w:rsidRDefault="00A94BAE" w:rsidP="00A94BAE">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77871322" w14:textId="77777777" w:rsidR="00A94BAE" w:rsidRPr="001A0955" w:rsidRDefault="00A94BAE" w:rsidP="00A94BAE">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13F6003B" w14:textId="77777777" w:rsidR="00A94BAE" w:rsidRDefault="00A94BAE" w:rsidP="00A94BAE">
      <w:pPr>
        <w:pStyle w:val="Spec1L4"/>
        <w:rPr>
          <w:rFonts w:asciiTheme="majorHAnsi" w:hAnsiTheme="majorHAnsi"/>
          <w:sz w:val="24"/>
          <w:szCs w:val="24"/>
        </w:rPr>
      </w:pPr>
      <w:r w:rsidRPr="004015C5">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w:t>
      </w:r>
      <w:r>
        <w:rPr>
          <w:rFonts w:asciiTheme="majorHAnsi" w:hAnsiTheme="majorHAnsi"/>
          <w:sz w:val="24"/>
          <w:szCs w:val="24"/>
        </w:rPr>
        <w:t>&lt;</w:t>
      </w:r>
      <w:r w:rsidRPr="00553BF1">
        <w:rPr>
          <w:rFonts w:asciiTheme="majorHAnsi" w:hAnsiTheme="majorHAnsi"/>
          <w:sz w:val="24"/>
          <w:szCs w:val="24"/>
        </w:rPr>
        <w:t>http://newgtlds.icann.org/en/announcements-and-media/announcement-2-17nov13-en</w:t>
      </w:r>
      <w:r>
        <w:rPr>
          <w:rFonts w:asciiTheme="majorHAnsi" w:hAnsiTheme="majorHAnsi"/>
          <w:sz w:val="24"/>
          <w:szCs w:val="24"/>
        </w:rPr>
        <w:t xml:space="preserve">&gt; </w:t>
      </w:r>
      <w:r w:rsidRPr="004015C5">
        <w:rPr>
          <w:rFonts w:asciiTheme="majorHAnsi" w:hAnsiTheme="majorHAnsi"/>
          <w:sz w:val="24"/>
          <w:szCs w:val="24"/>
        </w:rPr>
        <w:t xml:space="preserve">as such list may be modified by ICANN from time to time.  Registry Operator may activate names pursuant to this subsection and later activate names pursuant to subsection 6.2.1.  </w:t>
      </w:r>
    </w:p>
    <w:p w14:paraId="5F739B18" w14:textId="77777777" w:rsidR="00A94BAE" w:rsidRPr="00BA4330" w:rsidRDefault="00A94BAE" w:rsidP="00A94BAE">
      <w:pPr>
        <w:pStyle w:val="Spec1L4"/>
        <w:rPr>
          <w:rFonts w:asciiTheme="majorHAnsi" w:hAnsiTheme="majorHAnsi"/>
          <w:sz w:val="24"/>
          <w:szCs w:val="24"/>
        </w:rPr>
      </w:pPr>
      <w:r w:rsidRPr="00BA4330">
        <w:rPr>
          <w:rFonts w:asciiTheme="majorHAnsi" w:hAnsiTheme="majorHAnsi"/>
          <w:sz w:val="24"/>
          <w:szCs w:val="24"/>
        </w:rPr>
        <w:lastRenderedPageBreak/>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7111C261" w14:textId="77777777" w:rsidR="00A94BAE" w:rsidRDefault="00A94BAE" w:rsidP="00A94BAE">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515AFB33" w14:textId="4935F503" w:rsidR="00A94BAE" w:rsidRPr="00A17139" w:rsidRDefault="00A94BAE" w:rsidP="00A94BAE">
      <w:pPr>
        <w:pStyle w:val="Spec1L4"/>
        <w:rPr>
          <w:rFonts w:asciiTheme="majorHAnsi" w:hAnsiTheme="majorHAnsi"/>
          <w:sz w:val="24"/>
          <w:szCs w:val="24"/>
        </w:rPr>
      </w:pPr>
      <w:r w:rsidRPr="00975EAA">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975EAA">
        <w:rPr>
          <w:rFonts w:asciiTheme="majorHAnsi" w:hAnsiTheme="majorHAnsi"/>
          <w:sz w:val="24"/>
          <w:szCs w:val="24"/>
        </w:rPr>
        <w:t>gTLD</w:t>
      </w:r>
      <w:proofErr w:type="spellEnd"/>
      <w:r w:rsidRPr="00975EAA">
        <w:rPr>
          <w:rFonts w:asciiTheme="majorHAnsi" w:hAnsiTheme="majorHAnsi"/>
          <w:sz w:val="24"/>
          <w:szCs w:val="24"/>
        </w:rPr>
        <w:t xml:space="preserve"> Name Collision Occurrence Management Plan approved by the ICANN Board New </w:t>
      </w:r>
      <w:proofErr w:type="spellStart"/>
      <w:r w:rsidRPr="00975EAA">
        <w:rPr>
          <w:rFonts w:asciiTheme="majorHAnsi" w:hAnsiTheme="majorHAnsi"/>
          <w:sz w:val="24"/>
          <w:szCs w:val="24"/>
        </w:rPr>
        <w:t>gTLD</w:t>
      </w:r>
      <w:proofErr w:type="spellEnd"/>
      <w:r w:rsidRPr="00975EAA">
        <w:rPr>
          <w:rFonts w:asciiTheme="majorHAnsi" w:hAnsiTheme="majorHAnsi"/>
          <w:sz w:val="24"/>
          <w:szCs w:val="24"/>
        </w:rPr>
        <w:t xml:space="preserve"> Program Comm</w:t>
      </w:r>
      <w:r w:rsidR="004D5188">
        <w:rPr>
          <w:rFonts w:asciiTheme="majorHAnsi" w:hAnsiTheme="majorHAnsi"/>
          <w:sz w:val="24"/>
          <w:szCs w:val="24"/>
        </w:rPr>
        <w:t xml:space="preserve">ittee (NGPC) on 7 October 2013 </w:t>
      </w:r>
      <w:r w:rsidRPr="00975EAA">
        <w:rPr>
          <w:rFonts w:asciiTheme="majorHAnsi" w:hAnsiTheme="majorHAnsi"/>
          <w:sz w:val="24"/>
          <w:szCs w:val="24"/>
        </w:rPr>
        <w:t>as found at &lt;</w:t>
      </w:r>
      <w:hyperlink r:id="rId30" w:history="1">
        <w:r w:rsidRPr="00975EAA">
          <w:rPr>
            <w:rFonts w:asciiTheme="majorHAnsi" w:hAnsiTheme="majorHAnsi"/>
            <w:sz w:val="24"/>
            <w:szCs w:val="24"/>
          </w:rPr>
          <w:t>http://www.icann.org/en/groups/board/documents/resolutions-new-gtld-annex-1-07oct13-en.pdf&gt;</w:t>
        </w:r>
      </w:hyperlink>
      <w:r w:rsidRPr="00975EAA">
        <w:rPr>
          <w:rFonts w:asciiTheme="majorHAnsi" w:hAnsiTheme="majorHAnsi"/>
          <w:sz w:val="24"/>
          <w:szCs w:val="24"/>
        </w:rPr>
        <w:t>.</w:t>
      </w:r>
    </w:p>
    <w:p w14:paraId="2A63A606" w14:textId="77777777" w:rsidR="00A94BAE" w:rsidRPr="00BA4330" w:rsidRDefault="00A94BAE" w:rsidP="00A94BAE">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4BE50D7E" w14:textId="77777777" w:rsidR="00A94BAE" w:rsidRPr="00BA4330" w:rsidRDefault="00A94BAE" w:rsidP="00A94BAE">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2D438865" w14:textId="77777777" w:rsidR="00A94BAE" w:rsidRPr="00BA4330" w:rsidRDefault="00A94BAE" w:rsidP="00A94BAE">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r>
        <w:rPr>
          <w:rFonts w:asciiTheme="majorHAnsi" w:hAnsiTheme="majorHAnsi"/>
          <w:i/>
          <w:sz w:val="24"/>
          <w:szCs w:val="24"/>
        </w:rPr>
        <w:t>url</w:t>
      </w:r>
      <w:proofErr w:type="spell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the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w:t>
      </w:r>
      <w:r>
        <w:rPr>
          <w:rFonts w:ascii="Cambria" w:eastAsia="MS Gothic" w:hAnsi="Cambria" w:cs="Cambria"/>
          <w:color w:val="000000"/>
          <w:sz w:val="24"/>
          <w:szCs w:val="24"/>
        </w:rPr>
        <w:lastRenderedPageBreak/>
        <w:t>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5"/>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2125A2" w:rsidRDefault="002125A2">
      <w:pPr>
        <w:pStyle w:val="Footer"/>
      </w:pPr>
    </w:p>
  </w:endnote>
  <w:endnote w:type="continuationSeparator" w:id="0">
    <w:p w14:paraId="67A6DD6C" w14:textId="77777777" w:rsidR="002125A2" w:rsidRDefault="002125A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E436584" w:rsidR="002125A2" w:rsidRDefault="002125A2">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125A2" w:rsidRDefault="002125A2">
    <w:pPr>
      <w:pStyle w:val="Footer"/>
      <w:spacing w:line="200" w:lineRule="exact"/>
      <w:jc w:val="center"/>
    </w:pPr>
    <w:r>
      <w:fldChar w:fldCharType="begin"/>
    </w:r>
    <w:r>
      <w:instrText xml:space="preserve"> PAGE   \* MERGEFORMAT </w:instrText>
    </w:r>
    <w:r>
      <w:fldChar w:fldCharType="separate"/>
    </w:r>
    <w:r w:rsidR="00AA130A">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125A2" w:rsidRDefault="002125A2">
    <w:pPr>
      <w:pStyle w:val="Footer"/>
      <w:tabs>
        <w:tab w:val="clear" w:pos="4680"/>
      </w:tabs>
      <w:spacing w:line="200" w:lineRule="exact"/>
      <w:jc w:val="center"/>
    </w:pPr>
    <w:r>
      <w:fldChar w:fldCharType="begin"/>
    </w:r>
    <w:r>
      <w:instrText xml:space="preserve"> PAGE   \* MERGEFORMAT </w:instrText>
    </w:r>
    <w:r>
      <w:fldChar w:fldCharType="separate"/>
    </w:r>
    <w:r w:rsidR="00AA130A">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125A2" w:rsidRDefault="002125A2">
    <w:pPr>
      <w:pStyle w:val="Footer"/>
      <w:spacing w:line="200" w:lineRule="exact"/>
      <w:jc w:val="center"/>
    </w:pPr>
    <w:r>
      <w:fldChar w:fldCharType="begin"/>
    </w:r>
    <w:r>
      <w:instrText xml:space="preserve"> PAGE   \* MERGEFORMAT </w:instrText>
    </w:r>
    <w:r>
      <w:fldChar w:fldCharType="separate"/>
    </w:r>
    <w:r w:rsidR="00AA130A">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125A2" w:rsidRDefault="002125A2">
    <w:pPr>
      <w:pStyle w:val="Footer"/>
      <w:tabs>
        <w:tab w:val="clear" w:pos="4680"/>
      </w:tabs>
      <w:spacing w:line="200" w:lineRule="exact"/>
      <w:jc w:val="center"/>
    </w:pPr>
    <w:r>
      <w:fldChar w:fldCharType="begin"/>
    </w:r>
    <w:r>
      <w:instrText xml:space="preserve"> PAGE   \* MERGEFORMAT </w:instrText>
    </w:r>
    <w:r>
      <w:fldChar w:fldCharType="separate"/>
    </w:r>
    <w:r w:rsidR="00AA130A">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125A2" w:rsidRDefault="002125A2">
    <w:pPr>
      <w:pStyle w:val="Footer"/>
      <w:tabs>
        <w:tab w:val="clear" w:pos="4680"/>
      </w:tabs>
      <w:spacing w:line="200" w:lineRule="exact"/>
      <w:jc w:val="center"/>
    </w:pPr>
    <w:r>
      <w:fldChar w:fldCharType="begin"/>
    </w:r>
    <w:r>
      <w:instrText xml:space="preserve"> PAGE   \* MERGEFORMAT </w:instrText>
    </w:r>
    <w:r>
      <w:fldChar w:fldCharType="separate"/>
    </w:r>
    <w:r w:rsidR="00AA130A">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125A2" w:rsidRDefault="002125A2">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A130A">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125A2" w:rsidRDefault="002125A2">
    <w:pPr>
      <w:pStyle w:val="Footer"/>
      <w:spacing w:line="200" w:lineRule="exact"/>
      <w:jc w:val="center"/>
    </w:pPr>
    <w:r>
      <w:fldChar w:fldCharType="begin"/>
    </w:r>
    <w:r>
      <w:instrText xml:space="preserve"> PAGE   \* MERGEFORMAT </w:instrText>
    </w:r>
    <w:r>
      <w:fldChar w:fldCharType="separate"/>
    </w:r>
    <w:r w:rsidR="00AA130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125A2" w:rsidRDefault="002125A2">
    <w:pPr>
      <w:pStyle w:val="Footer"/>
      <w:tabs>
        <w:tab w:val="clear" w:pos="4680"/>
      </w:tabs>
      <w:spacing w:line="200" w:lineRule="exact"/>
      <w:jc w:val="center"/>
    </w:pPr>
  </w:p>
  <w:p w14:paraId="4A3D38B9" w14:textId="77777777" w:rsidR="002125A2" w:rsidRDefault="002125A2">
    <w:pPr>
      <w:pStyle w:val="Footer"/>
      <w:tabs>
        <w:tab w:val="clear" w:pos="4680"/>
      </w:tabs>
      <w:spacing w:line="200" w:lineRule="exact"/>
      <w:jc w:val="center"/>
    </w:pPr>
    <w:r>
      <w:fldChar w:fldCharType="begin"/>
    </w:r>
    <w:r>
      <w:instrText xml:space="preserve"> PAGE   \* MERGEFORMAT </w:instrText>
    </w:r>
    <w:r>
      <w:fldChar w:fldCharType="separate"/>
    </w:r>
    <w:r w:rsidR="00AA130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125A2" w:rsidRDefault="002125A2">
    <w:pPr>
      <w:pStyle w:val="Footer"/>
      <w:tabs>
        <w:tab w:val="clear" w:pos="4680"/>
      </w:tabs>
      <w:spacing w:line="200" w:lineRule="exact"/>
      <w:jc w:val="center"/>
    </w:pPr>
    <w:r>
      <w:fldChar w:fldCharType="begin"/>
    </w:r>
    <w:r>
      <w:instrText xml:space="preserve"> PAGE   \* MERGEFORMAT </w:instrText>
    </w:r>
    <w:r>
      <w:fldChar w:fldCharType="separate"/>
    </w:r>
    <w:r w:rsidR="00AA130A">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125A2" w:rsidRDefault="002125A2">
    <w:pPr>
      <w:pStyle w:val="Footer"/>
      <w:spacing w:line="200" w:lineRule="exact"/>
      <w:jc w:val="center"/>
    </w:pPr>
    <w:r>
      <w:fldChar w:fldCharType="begin"/>
    </w:r>
    <w:r>
      <w:instrText xml:space="preserve"> PAGE   \* MERGEFORMAT </w:instrText>
    </w:r>
    <w:r>
      <w:fldChar w:fldCharType="separate"/>
    </w:r>
    <w:r w:rsidR="00AA130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125A2" w:rsidRDefault="002125A2">
    <w:pPr>
      <w:pStyle w:val="Footer"/>
      <w:spacing w:line="200" w:lineRule="exact"/>
      <w:jc w:val="center"/>
    </w:pPr>
    <w:r>
      <w:fldChar w:fldCharType="begin"/>
    </w:r>
    <w:r>
      <w:instrText xml:space="preserve"> PAGE   \* MERGEFORMAT </w:instrText>
    </w:r>
    <w:r>
      <w:fldChar w:fldCharType="separate"/>
    </w:r>
    <w:r w:rsidR="00AA130A">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125A2" w:rsidRDefault="002125A2">
    <w:pPr>
      <w:pStyle w:val="Footer"/>
      <w:tabs>
        <w:tab w:val="clear" w:pos="4680"/>
      </w:tabs>
      <w:spacing w:line="200" w:lineRule="exact"/>
      <w:jc w:val="center"/>
    </w:pPr>
    <w:r>
      <w:fldChar w:fldCharType="begin"/>
    </w:r>
    <w:r>
      <w:instrText xml:space="preserve"> PAGE   \* MERGEFORMAT </w:instrText>
    </w:r>
    <w:r>
      <w:fldChar w:fldCharType="separate"/>
    </w:r>
    <w:r w:rsidR="00AA130A">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125A2" w:rsidRDefault="002125A2">
    <w:pPr>
      <w:pStyle w:val="Footer"/>
      <w:tabs>
        <w:tab w:val="clear" w:pos="4680"/>
      </w:tabs>
      <w:spacing w:line="200" w:lineRule="exact"/>
      <w:jc w:val="center"/>
    </w:pPr>
    <w:r>
      <w:fldChar w:fldCharType="begin"/>
    </w:r>
    <w:r>
      <w:instrText xml:space="preserve"> PAGE   \* MERGEFORMAT </w:instrText>
    </w:r>
    <w:r>
      <w:fldChar w:fldCharType="separate"/>
    </w:r>
    <w:r w:rsidR="00AA130A">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2125A2" w:rsidRDefault="002125A2">
      <w:r>
        <w:separator/>
      </w:r>
    </w:p>
  </w:footnote>
  <w:footnote w:type="continuationSeparator" w:id="0">
    <w:p w14:paraId="189A43B6" w14:textId="77777777" w:rsidR="002125A2" w:rsidRDefault="00212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125A2" w:rsidRDefault="002125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125A2" w:rsidRDefault="002125A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125A2" w:rsidRDefault="002125A2">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125A2" w:rsidRDefault="00212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125A2" w:rsidRDefault="00212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125A2" w:rsidRDefault="002125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125A2" w:rsidRDefault="002125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125A2" w:rsidRDefault="002125A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125A2" w:rsidRDefault="002125A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125A2" w:rsidRDefault="002125A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125A2" w:rsidRDefault="002125A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125A2" w:rsidRDefault="00212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ED10AC1"/>
    <w:multiLevelType w:val="multilevel"/>
    <w:tmpl w:val="D5EE9EC4"/>
    <w:lvl w:ilvl="0">
      <w:start w:val="1"/>
      <w:numFmt w:val="decimal"/>
      <w:lvlText w:val="%1."/>
      <w:lvlJc w:val="left"/>
      <w:pPr>
        <w:ind w:left="360" w:hanging="360"/>
      </w:pPr>
    </w:lvl>
    <w:lvl w:ilvl="1">
      <w:start w:val="1"/>
      <w:numFmt w:val="decimal"/>
      <w:lvlText w:val="2.%2."/>
      <w:lvlJc w:val="left"/>
      <w:pPr>
        <w:ind w:left="720" w:hanging="360"/>
      </w:pPr>
      <w:rPr>
        <w:rFonts w:hint="default"/>
        <w:b/>
      </w:rPr>
    </w:lvl>
    <w:lvl w:ilvl="2">
      <w:start w:val="1"/>
      <w:numFmt w:val="decimal"/>
      <w:lvlText w:val="2.3.%3."/>
      <w:lvlJc w:val="left"/>
      <w:pPr>
        <w:ind w:left="1080" w:hanging="360"/>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279F8"/>
    <w:multiLevelType w:val="hybridMultilevel"/>
    <w:tmpl w:val="9C9E03E6"/>
    <w:lvl w:ilvl="0" w:tplc="ADAC40D4">
      <w:start w:val="1"/>
      <w:numFmt w:val="decimal"/>
      <w:lvlText w:val="%1."/>
      <w:lvlJc w:val="left"/>
      <w:pPr>
        <w:ind w:left="880" w:hanging="400"/>
      </w:pPr>
      <w:rPr>
        <w:rFonts w:ascii="Cambria" w:hAnsi="Cambria" w:cs="Cambria"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82A97"/>
    <w:multiLevelType w:val="multilevel"/>
    <w:tmpl w:val="B5F87964"/>
    <w:lvl w:ilvl="0">
      <w:start w:val="1"/>
      <w:numFmt w:val="decimal"/>
      <w:lvlText w:val="%1."/>
      <w:lvlJc w:val="left"/>
      <w:pPr>
        <w:ind w:left="360" w:hanging="360"/>
      </w:pPr>
    </w:lvl>
    <w:lvl w:ilvl="1">
      <w:start w:val="1"/>
      <w:numFmt w:val="decimal"/>
      <w:lvlText w:val="2.%2."/>
      <w:lvlJc w:val="left"/>
      <w:pPr>
        <w:ind w:left="720" w:hanging="360"/>
      </w:pPr>
      <w:rPr>
        <w:rFonts w:hint="default"/>
        <w:b/>
      </w:rPr>
    </w:lvl>
    <w:lvl w:ilvl="2">
      <w:start w:val="1"/>
      <w:numFmt w:val="decimal"/>
      <w:lvlText w:val="2.2.%3."/>
      <w:lvlJc w:val="left"/>
      <w:pPr>
        <w:ind w:left="1080" w:hanging="360"/>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7"/>
  </w:num>
  <w:num w:numId="41">
    <w:abstractNumId w:val="15"/>
  </w:num>
  <w:num w:numId="42">
    <w:abstractNumId w:val="18"/>
  </w:num>
  <w:num w:numId="43">
    <w:abstractNumId w:val="13"/>
  </w:num>
  <w:num w:numId="4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RCm/1q/J8HMg3aCFrzcj8BfehvE=" w:salt="QlimGQHHlVGGOK1ySQiK3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115B11"/>
    <w:rsid w:val="00116751"/>
    <w:rsid w:val="001F7D3C"/>
    <w:rsid w:val="002125A2"/>
    <w:rsid w:val="002859E6"/>
    <w:rsid w:val="002B30B6"/>
    <w:rsid w:val="002D622A"/>
    <w:rsid w:val="002E4100"/>
    <w:rsid w:val="003248F3"/>
    <w:rsid w:val="003F1ECD"/>
    <w:rsid w:val="00410C40"/>
    <w:rsid w:val="0046082C"/>
    <w:rsid w:val="004B79B9"/>
    <w:rsid w:val="004D3240"/>
    <w:rsid w:val="004D5188"/>
    <w:rsid w:val="00523BEE"/>
    <w:rsid w:val="005332B6"/>
    <w:rsid w:val="0062798E"/>
    <w:rsid w:val="00645D55"/>
    <w:rsid w:val="00650E0A"/>
    <w:rsid w:val="00663788"/>
    <w:rsid w:val="0069064E"/>
    <w:rsid w:val="00757C6F"/>
    <w:rsid w:val="00850ED9"/>
    <w:rsid w:val="008D5ABC"/>
    <w:rsid w:val="009C6F01"/>
    <w:rsid w:val="00A01BAD"/>
    <w:rsid w:val="00A25E28"/>
    <w:rsid w:val="00A510AC"/>
    <w:rsid w:val="00A94BAE"/>
    <w:rsid w:val="00AA130A"/>
    <w:rsid w:val="00AF269A"/>
    <w:rsid w:val="00BC0CA9"/>
    <w:rsid w:val="00BC2048"/>
    <w:rsid w:val="00C217A8"/>
    <w:rsid w:val="00CA6382"/>
    <w:rsid w:val="00DE0800"/>
    <w:rsid w:val="00E17C76"/>
    <w:rsid w:val="00E2552A"/>
    <w:rsid w:val="00E40E0A"/>
    <w:rsid w:val="00E66502"/>
    <w:rsid w:val="00EE7092"/>
    <w:rsid w:val="00F24E9B"/>
    <w:rsid w:val="00F72D28"/>
    <w:rsid w:val="00FB2413"/>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footer" Target="footer8.xml"/><Relationship Id="rId34"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B147B-E92A-45AB-9B01-4A101926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32884</Words>
  <Characters>187442</Characters>
  <Application>Microsoft Office Word</Application>
  <DocSecurity>8</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2013-11-19T20:25:00Z</dcterms:created>
  <dcterms:modified xsi:type="dcterms:W3CDTF">2013-11-19T20:25:00Z</dcterms:modified>
</cp:coreProperties>
</file>