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CE8D41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9E60DC">
        <w:rPr>
          <w:rFonts w:asciiTheme="majorHAnsi" w:hAnsiTheme="majorHAnsi"/>
          <w:sz w:val="24"/>
          <w:szCs w:val="24"/>
        </w:rPr>
        <w:t>Research IP LLC</w:t>
      </w:r>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9E60DC">
        <w:rPr>
          <w:rFonts w:asciiTheme="majorHAnsi" w:hAnsiTheme="majorHAnsi"/>
          <w:sz w:val="24"/>
          <w:szCs w:val="24"/>
        </w:rPr>
        <w:t>North Carolina limited liability company</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CA2B48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9E60DC">
        <w:rPr>
          <w:rFonts w:asciiTheme="majorHAnsi" w:hAnsiTheme="majorHAnsi"/>
          <w:b/>
          <w:szCs w:val="24"/>
        </w:rPr>
        <w:t>sas</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58DC6F1" w14:textId="56D8B280" w:rsidR="00C817F4" w:rsidRPr="009E60DC" w:rsidRDefault="005332B6" w:rsidP="00C817F4">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9E60DC" w:rsidRPr="009E60DC">
        <w:rPr>
          <w:rFonts w:asciiTheme="majorHAnsi" w:hAnsiTheme="majorHAnsi"/>
          <w:sz w:val="24"/>
          <w:szCs w:val="24"/>
        </w:rPr>
        <w:t xml:space="preserve">Research IP LLC </w:t>
      </w:r>
      <w:r w:rsidR="00C817F4" w:rsidRPr="009E60DC">
        <w:rPr>
          <w:rFonts w:asciiTheme="majorHAnsi" w:hAnsiTheme="majorHAnsi"/>
          <w:sz w:val="24"/>
          <w:szCs w:val="24"/>
        </w:rPr>
        <w:br/>
      </w:r>
      <w:r w:rsidR="009E60DC" w:rsidRPr="009E60DC">
        <w:rPr>
          <w:rFonts w:asciiTheme="majorHAnsi" w:eastAsia="DFKai-SB" w:hAnsiTheme="majorHAnsi" w:cs="Arial"/>
          <w:color w:val="1A1A1A"/>
          <w:sz w:val="24"/>
          <w:szCs w:val="24"/>
        </w:rPr>
        <w:t>100 Matrix Drive, Box 8000</w:t>
      </w:r>
    </w:p>
    <w:p w14:paraId="3B15FB32" w14:textId="31C7F647" w:rsidR="00C817F4" w:rsidRPr="009E60DC" w:rsidRDefault="009E60DC" w:rsidP="00C817F4">
      <w:pPr>
        <w:widowControl w:val="0"/>
        <w:autoSpaceDE w:val="0"/>
        <w:autoSpaceDN w:val="0"/>
        <w:adjustRightInd w:val="0"/>
        <w:ind w:left="1440"/>
        <w:rPr>
          <w:rFonts w:asciiTheme="majorHAnsi" w:eastAsia="DFKai-SB" w:hAnsiTheme="majorHAnsi" w:cs="Arial"/>
          <w:sz w:val="24"/>
          <w:szCs w:val="24"/>
        </w:rPr>
      </w:pPr>
      <w:r w:rsidRPr="009E60DC">
        <w:rPr>
          <w:rFonts w:asciiTheme="majorHAnsi" w:eastAsia="DFKai-SB" w:hAnsiTheme="majorHAnsi" w:cs="Arial"/>
          <w:sz w:val="24"/>
          <w:szCs w:val="24"/>
        </w:rPr>
        <w:t>Cary, NC 27513</w:t>
      </w:r>
    </w:p>
    <w:p w14:paraId="5552795D" w14:textId="77777777" w:rsidR="00C817F4" w:rsidRPr="009E60DC" w:rsidRDefault="00C817F4" w:rsidP="00C817F4">
      <w:pPr>
        <w:widowControl w:val="0"/>
        <w:autoSpaceDE w:val="0"/>
        <w:autoSpaceDN w:val="0"/>
        <w:adjustRightInd w:val="0"/>
        <w:rPr>
          <w:rFonts w:asciiTheme="majorHAnsi" w:eastAsia="DFKai-SB" w:hAnsiTheme="majorHAnsi" w:cs="Arial"/>
          <w:sz w:val="24"/>
          <w:szCs w:val="24"/>
        </w:rPr>
      </w:pPr>
      <w:r w:rsidRPr="009E60DC">
        <w:rPr>
          <w:rFonts w:asciiTheme="majorHAnsi" w:eastAsia="DFKai-SB" w:hAnsiTheme="majorHAnsi" w:cs="Arial"/>
          <w:sz w:val="24"/>
          <w:szCs w:val="24"/>
        </w:rPr>
        <w:tab/>
      </w:r>
      <w:r w:rsidRPr="009E60DC">
        <w:rPr>
          <w:rFonts w:asciiTheme="majorHAnsi" w:eastAsia="DFKai-SB" w:hAnsiTheme="majorHAnsi" w:cs="Arial"/>
          <w:sz w:val="24"/>
          <w:szCs w:val="24"/>
        </w:rPr>
        <w:tab/>
        <w:t>USA</w:t>
      </w:r>
    </w:p>
    <w:p w14:paraId="6A36029F" w14:textId="28055A3C" w:rsidR="009E60DC" w:rsidRPr="009E60DC" w:rsidRDefault="00C817F4" w:rsidP="00E647A0">
      <w:pPr>
        <w:pStyle w:val="BodyTextIndent"/>
        <w:spacing w:after="0"/>
        <w:rPr>
          <w:rFonts w:asciiTheme="majorHAnsi" w:eastAsia="DFKai-SB" w:hAnsiTheme="majorHAnsi" w:cs="Arial"/>
          <w:color w:val="1A1A1A"/>
          <w:sz w:val="24"/>
          <w:szCs w:val="24"/>
        </w:rPr>
      </w:pPr>
      <w:r w:rsidRPr="009E60DC">
        <w:rPr>
          <w:rFonts w:asciiTheme="majorHAnsi" w:hAnsiTheme="majorHAnsi"/>
          <w:sz w:val="24"/>
          <w:szCs w:val="24"/>
        </w:rPr>
        <w:t>Telephone:  +</w:t>
      </w:r>
      <w:r w:rsidRPr="009E60DC">
        <w:rPr>
          <w:rFonts w:asciiTheme="majorHAnsi" w:eastAsia="DFKai-SB" w:hAnsiTheme="majorHAnsi" w:cs="Arial"/>
          <w:sz w:val="24"/>
          <w:szCs w:val="24"/>
        </w:rPr>
        <w:t xml:space="preserve"> 1</w:t>
      </w:r>
      <w:r w:rsidR="009E60DC" w:rsidRPr="009E60DC">
        <w:rPr>
          <w:rFonts w:asciiTheme="majorHAnsi" w:eastAsia="DFKai-SB" w:hAnsiTheme="majorHAnsi" w:cs="Arial"/>
          <w:color w:val="1A1A1A"/>
          <w:sz w:val="24"/>
          <w:szCs w:val="24"/>
        </w:rPr>
        <w:t xml:space="preserve"> (919) 531-6016</w:t>
      </w:r>
    </w:p>
    <w:p w14:paraId="19FC0190" w14:textId="14040C1C" w:rsidR="00C817F4" w:rsidRPr="009E60DC" w:rsidRDefault="009E60DC" w:rsidP="00E647A0">
      <w:pPr>
        <w:pStyle w:val="BodyTextIndent"/>
        <w:spacing w:after="0"/>
        <w:rPr>
          <w:rFonts w:asciiTheme="majorHAnsi" w:eastAsia="DFKai-SB" w:hAnsiTheme="majorHAnsi" w:cs="Arial"/>
          <w:sz w:val="24"/>
          <w:szCs w:val="24"/>
        </w:rPr>
      </w:pPr>
      <w:r w:rsidRPr="009E60DC">
        <w:rPr>
          <w:rFonts w:asciiTheme="majorHAnsi" w:eastAsia="DFKai-SB" w:hAnsiTheme="majorHAnsi" w:cs="Arial"/>
          <w:color w:val="1A1A1A"/>
          <w:sz w:val="24"/>
          <w:szCs w:val="24"/>
        </w:rPr>
        <w:t>Facsimile: + 1 (919) 677-8177</w:t>
      </w:r>
      <w:r w:rsidR="003D0982" w:rsidRPr="009E60DC">
        <w:rPr>
          <w:rFonts w:asciiTheme="majorHAnsi" w:hAnsiTheme="majorHAnsi"/>
          <w:sz w:val="24"/>
          <w:szCs w:val="24"/>
        </w:rPr>
        <w:br/>
        <w:t xml:space="preserve">Attention: </w:t>
      </w:r>
      <w:r w:rsidRPr="009E60DC">
        <w:rPr>
          <w:rFonts w:asciiTheme="majorHAnsi" w:hAnsiTheme="majorHAnsi"/>
          <w:sz w:val="24"/>
          <w:szCs w:val="24"/>
        </w:rPr>
        <w:t>Karen Day</w:t>
      </w:r>
      <w:r w:rsidR="00E647A0" w:rsidRPr="009E60DC">
        <w:rPr>
          <w:rFonts w:asciiTheme="majorHAnsi" w:hAnsiTheme="majorHAnsi"/>
          <w:sz w:val="24"/>
          <w:szCs w:val="24"/>
        </w:rPr>
        <w:t xml:space="preserve">, </w:t>
      </w:r>
      <w:r w:rsidRPr="009E60DC">
        <w:rPr>
          <w:rFonts w:asciiTheme="majorHAnsi" w:eastAsia="DFKai-SB" w:hAnsiTheme="majorHAnsi" w:cs="Arial"/>
          <w:color w:val="1A1A1A"/>
          <w:sz w:val="24"/>
          <w:szCs w:val="24"/>
        </w:rPr>
        <w:t>Senior Legal Specialist</w:t>
      </w:r>
    </w:p>
    <w:p w14:paraId="73D4A1B7" w14:textId="65DD2F8C" w:rsidR="00C817F4" w:rsidRPr="009E60DC" w:rsidRDefault="00C817F4" w:rsidP="00C817F4">
      <w:pPr>
        <w:pStyle w:val="BodyTextIndent"/>
        <w:rPr>
          <w:rFonts w:asciiTheme="majorHAnsi" w:hAnsiTheme="majorHAnsi"/>
          <w:sz w:val="24"/>
          <w:szCs w:val="24"/>
        </w:rPr>
      </w:pPr>
      <w:r w:rsidRPr="009E60DC">
        <w:rPr>
          <w:rFonts w:asciiTheme="majorHAnsi" w:hAnsiTheme="majorHAnsi"/>
          <w:sz w:val="24"/>
          <w:szCs w:val="24"/>
        </w:rPr>
        <w:t xml:space="preserve">Email: </w:t>
      </w:r>
      <w:r w:rsidR="009E60DC" w:rsidRPr="009E60DC">
        <w:rPr>
          <w:rFonts w:asciiTheme="majorHAnsi" w:eastAsia="DFKai-SB" w:hAnsiTheme="majorHAnsi" w:cs="Arial"/>
          <w:color w:val="1A1A1A"/>
          <w:sz w:val="24"/>
          <w:szCs w:val="24"/>
        </w:rPr>
        <w:t>karen.day@sas.com</w:t>
      </w:r>
    </w:p>
    <w:p w14:paraId="71C4056B" w14:textId="2878DCF7" w:rsidR="00F46190" w:rsidRPr="001F73DC" w:rsidRDefault="00966B18" w:rsidP="00C817F4">
      <w:pPr>
        <w:widowControl w:val="0"/>
        <w:autoSpaceDE w:val="0"/>
        <w:autoSpaceDN w:val="0"/>
        <w:adjustRightInd w:val="0"/>
        <w:ind w:left="1440"/>
        <w:rPr>
          <w:rFonts w:asciiTheme="majorHAnsi" w:hAnsiTheme="majorHAnsi"/>
          <w:sz w:val="24"/>
          <w:szCs w:val="24"/>
        </w:rPr>
      </w:pPr>
      <w:r w:rsidRPr="001F73DC">
        <w:rPr>
          <w:rFonts w:asciiTheme="majorHAnsi" w:hAnsiTheme="majorHAnsi"/>
          <w:sz w:val="24"/>
          <w:szCs w:val="24"/>
        </w:rPr>
        <w:lastRenderedPageBreak/>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w:t>
      </w:r>
      <w:r>
        <w:rPr>
          <w:rFonts w:asciiTheme="majorHAnsi" w:hAnsiTheme="majorHAnsi"/>
          <w:szCs w:val="24"/>
        </w:rPr>
        <w:lastRenderedPageBreak/>
        <w:t>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59812AE7" w:rsidR="00966B18" w:rsidRPr="001F73DC" w:rsidRDefault="009E60DC" w:rsidP="00966B18">
      <w:pPr>
        <w:pStyle w:val="BodyText"/>
        <w:rPr>
          <w:rFonts w:asciiTheme="majorHAnsi" w:hAnsiTheme="majorHAnsi"/>
          <w:b/>
          <w:sz w:val="24"/>
          <w:szCs w:val="24"/>
        </w:rPr>
      </w:pPr>
      <w:bookmarkStart w:id="0" w:name="_GoBack"/>
      <w:r>
        <w:rPr>
          <w:rFonts w:asciiTheme="majorHAnsi" w:hAnsiTheme="majorHAnsi"/>
          <w:b/>
          <w:sz w:val="24"/>
          <w:szCs w:val="24"/>
        </w:rPr>
        <w:t>RESEARCH IP LLC</w:t>
      </w:r>
      <w:bookmarkEnd w:id="0"/>
      <w:r>
        <w:rPr>
          <w:rFonts w:asciiTheme="majorHAnsi" w:hAnsiTheme="majorHAnsi"/>
          <w:b/>
          <w:sz w:val="24"/>
          <w:szCs w:val="24"/>
        </w:rPr>
        <w:t xml:space="preserve"> </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1F1B7C24" w14:textId="77777777" w:rsidR="009E60DC" w:rsidRPr="009E60DC" w:rsidRDefault="00966B18" w:rsidP="009E60DC">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9E60DC" w:rsidRPr="009E60DC">
        <w:rPr>
          <w:rFonts w:asciiTheme="majorHAnsi" w:eastAsia="DFKai-SB" w:hAnsiTheme="majorHAnsi" w:cs="Arial"/>
          <w:color w:val="1A1A1A"/>
          <w:sz w:val="24"/>
          <w:szCs w:val="24"/>
        </w:rPr>
        <w:t>Dennis Massengill</w:t>
      </w:r>
    </w:p>
    <w:p w14:paraId="291A593F" w14:textId="5E6A6A78" w:rsidR="00115B11" w:rsidRPr="001F73DC" w:rsidRDefault="009E60DC" w:rsidP="009E60DC">
      <w:pPr>
        <w:pStyle w:val="BodyTextIndent2"/>
        <w:rPr>
          <w:rFonts w:asciiTheme="majorHAnsi" w:hAnsiTheme="majorHAnsi"/>
          <w:sz w:val="24"/>
          <w:szCs w:val="24"/>
        </w:rPr>
      </w:pPr>
      <w:r w:rsidRPr="009E60DC">
        <w:rPr>
          <w:rFonts w:asciiTheme="majorHAnsi" w:eastAsia="DFKai-SB" w:hAnsiTheme="majorHAnsi" w:cs="Arial"/>
          <w:color w:val="1A1A1A"/>
          <w:sz w:val="24"/>
          <w:szCs w:val="24"/>
        </w:rPr>
        <w:tab/>
        <w:t>Vice President</w:t>
      </w:r>
      <w:r w:rsidR="005332B6" w:rsidRPr="001F73DC">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57414DEB" w14:textId="77777777" w:rsidR="009E60DC" w:rsidRPr="007219B2" w:rsidRDefault="009E60DC" w:rsidP="009E60DC">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F571AC4" w14:textId="77777777" w:rsidR="009E60DC" w:rsidRPr="007219B2" w:rsidRDefault="009E60DC" w:rsidP="009E60DC">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BAACEB5" w14:textId="77777777" w:rsidR="009E60DC" w:rsidRPr="007219B2" w:rsidRDefault="009E60DC" w:rsidP="009E60D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2C8D92E" w14:textId="77777777" w:rsidR="009E60DC" w:rsidRPr="007219B2" w:rsidRDefault="009E60DC" w:rsidP="009E60D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E40BB57" w14:textId="77777777" w:rsidR="009E60DC" w:rsidRPr="007219B2" w:rsidRDefault="009E60DC" w:rsidP="009E60D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45FB560" w14:textId="77777777" w:rsidR="009E60DC" w:rsidRPr="007219B2" w:rsidRDefault="009E60DC" w:rsidP="009E60D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6BDE343" w14:textId="77777777" w:rsidR="009E60DC" w:rsidRPr="007219B2" w:rsidRDefault="009E60DC" w:rsidP="009E60D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DC474CE" w14:textId="77777777" w:rsidR="009E60DC" w:rsidRPr="007219B2" w:rsidRDefault="009E60DC" w:rsidP="009E60D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4C1D928" w14:textId="77777777" w:rsidR="009E60DC" w:rsidRPr="007219B2" w:rsidRDefault="009E60DC" w:rsidP="009E60D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BB4909A" w14:textId="77777777" w:rsidR="009E60DC" w:rsidRPr="007219B2" w:rsidRDefault="009E60DC" w:rsidP="009E60D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91C18D7" w14:textId="77777777" w:rsidR="009E60DC" w:rsidRDefault="009E60DC" w:rsidP="009E60DC">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45F1F973" w14:textId="77777777" w:rsidR="009E60DC" w:rsidRPr="00275B8C" w:rsidRDefault="009E60DC" w:rsidP="009E60DC">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6EFB88AA" w14:textId="77777777" w:rsidR="009E60DC" w:rsidRPr="004A4A05" w:rsidRDefault="009E60DC" w:rsidP="009E60DC">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2B6E46F" w14:textId="77777777" w:rsidR="009E60DC" w:rsidRPr="0044045E" w:rsidRDefault="009E60DC" w:rsidP="009E60DC">
      <w:pPr>
        <w:spacing w:before="240" w:after="200" w:line="276" w:lineRule="auto"/>
        <w:ind w:left="360"/>
        <w:outlineLvl w:val="0"/>
        <w:rPr>
          <w:rFonts w:ascii="Cambria" w:eastAsia="Arial" w:hAnsi="Cambria" w:cs="Arial"/>
          <w:b/>
          <w:color w:val="000000"/>
          <w:szCs w:val="22"/>
          <w:lang w:eastAsia="ja-JP"/>
        </w:rPr>
      </w:pPr>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7D6647C5" w14:textId="77777777" w:rsidR="009E60DC" w:rsidRDefault="009E60DC" w:rsidP="009E60DC">
      <w:pPr>
        <w:pStyle w:val="ListParagraph"/>
        <w:numPr>
          <w:ilvl w:val="0"/>
          <w:numId w:val="47"/>
        </w:numPr>
        <w:spacing w:after="200"/>
        <w:rPr>
          <w:color w:val="000000"/>
        </w:rPr>
      </w:pPr>
      <w:r>
        <w:rPr>
          <w:rFonts w:ascii="Cambria" w:hAnsi="Cambria"/>
          <w:color w:val="000000"/>
        </w:rPr>
        <w:lastRenderedPageBreak/>
        <w:t>Username and password based authentication.</w:t>
      </w:r>
    </w:p>
    <w:p w14:paraId="57DC3B6A" w14:textId="77777777" w:rsidR="009E60DC" w:rsidRDefault="009E60DC" w:rsidP="009E60DC">
      <w:pPr>
        <w:pStyle w:val="ListParagraph"/>
        <w:numPr>
          <w:ilvl w:val="0"/>
          <w:numId w:val="47"/>
        </w:numPr>
        <w:spacing w:after="200"/>
        <w:rPr>
          <w:color w:val="000000"/>
        </w:rPr>
      </w:pPr>
      <w:r>
        <w:rPr>
          <w:rFonts w:ascii="Cambria" w:hAnsi="Cambria"/>
          <w:color w:val="000000"/>
        </w:rPr>
        <w:t>Certificate based authentication.</w:t>
      </w:r>
    </w:p>
    <w:p w14:paraId="36E02C3F" w14:textId="77777777" w:rsidR="009E60DC" w:rsidRPr="00363612" w:rsidRDefault="009E60DC" w:rsidP="009E60DC">
      <w:pPr>
        <w:pStyle w:val="ListParagraph"/>
        <w:numPr>
          <w:ilvl w:val="0"/>
          <w:numId w:val="47"/>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510E4574" w14:textId="77777777" w:rsidR="009E60DC" w:rsidRPr="00983BFF" w:rsidRDefault="009E60DC" w:rsidP="009E60DC">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B8B4171" w14:textId="77777777" w:rsidR="009E60DC" w:rsidRPr="00983BFF" w:rsidRDefault="009E60DC" w:rsidP="009E60DC">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85A5EC6" w14:textId="77777777" w:rsidR="009E60DC" w:rsidRPr="00983BFF" w:rsidRDefault="009E60DC" w:rsidP="009E60DC">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DF299C9" w14:textId="77777777" w:rsidR="009E60DC" w:rsidRPr="00F1174B" w:rsidRDefault="009E60DC" w:rsidP="009E60DC">
      <w:pPr>
        <w:numPr>
          <w:ilvl w:val="1"/>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will not offer variant IDNs.</w:t>
      </w:r>
    </w:p>
    <w:p w14:paraId="3F029547" w14:textId="77777777" w:rsidR="009E60DC" w:rsidRPr="00983BFF" w:rsidRDefault="009E60DC" w:rsidP="009E60DC">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12595CA" w14:textId="77777777" w:rsidR="009E60DC" w:rsidRDefault="009E60DC" w:rsidP="009E60DC">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9F04DC8" w14:textId="77777777" w:rsidR="009E60DC" w:rsidRPr="00983BFF" w:rsidRDefault="009E60DC" w:rsidP="009E60DC">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713DD50"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2536BA">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536BA">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2536BA">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536BA">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536BA">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536BA">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2536B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536B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536BA">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2536B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2536BA">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536BA">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536BA">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2E47230"/>
    <w:multiLevelType w:val="hybridMultilevel"/>
    <w:tmpl w:val="B3F8E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1"/>
  </w:num>
  <w:num w:numId="4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9XkgfCbA2kSRTEPrSZijCo8Jwjf0ldGjJetVznlltLWjV4MQu/AOlLTMGiEkMv8XyS5Z1YIyAqXqo98Z75s9RQ==" w:salt="tv7uygx2cq1mA2jemtrFc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536BA"/>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9E60DC"/>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EF122A"/>
    <w:rsid w:val="00F13C05"/>
    <w:rsid w:val="00F24E9B"/>
    <w:rsid w:val="00F46190"/>
    <w:rsid w:val="00F72D28"/>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613251-E5EA-489F-8B22-E39F48561F24}"/>
</file>

<file path=customXml/itemProps2.xml><?xml version="1.0" encoding="utf-8"?>
<ds:datastoreItem xmlns:ds="http://schemas.openxmlformats.org/officeDocument/2006/customXml" ds:itemID="{5B99C65D-BA63-4C90-8DD2-189AFE3C6C01}"/>
</file>

<file path=customXml/itemProps3.xml><?xml version="1.0" encoding="utf-8"?>
<ds:datastoreItem xmlns:ds="http://schemas.openxmlformats.org/officeDocument/2006/customXml" ds:itemID="{9FE0038E-D57C-4B3E-97BE-D698DA52E429}"/>
</file>

<file path=docProps/app.xml><?xml version="1.0" encoding="utf-8"?>
<Properties xmlns="http://schemas.openxmlformats.org/officeDocument/2006/extended-properties" xmlns:vt="http://schemas.openxmlformats.org/officeDocument/2006/docPropsVTypes">
  <Template>Normal</Template>
  <TotalTime>0</TotalTime>
  <Pages>89</Pages>
  <Words>32895</Words>
  <Characters>187502</Characters>
  <Application>Microsoft Office Word</Application>
  <DocSecurity>8</DocSecurity>
  <Lines>1562</Lines>
  <Paragraphs>439</Paragraphs>
  <ScaleCrop>false</ScaleCrop>
  <Manager/>
  <Company/>
  <LinksUpToDate>false</LinksUpToDate>
  <CharactersWithSpaces>219958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2015-03-13T18:50:00Z</dcterms:created>
  <dcterms:modified xsi:type="dcterms:W3CDTF">2015-03-13T18:50:00Z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