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7F70E792"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2D7FCE">
        <w:rPr>
          <w:rFonts w:asciiTheme="majorHAnsi" w:hAnsiTheme="majorHAnsi"/>
          <w:sz w:val="22"/>
          <w:szCs w:val="22"/>
        </w:rPr>
        <w:t>___</w:t>
      </w:r>
      <w:r w:rsidR="002455C8">
        <w:rPr>
          <w:rFonts w:asciiTheme="majorHAnsi" w:hAnsiTheme="majorHAnsi"/>
          <w:sz w:val="22"/>
          <w:szCs w:val="22"/>
        </w:rPr>
        <w:t>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2D7FCE">
        <w:rPr>
          <w:rFonts w:asciiTheme="majorHAnsi" w:hAnsiTheme="majorHAnsi"/>
          <w:sz w:val="22"/>
          <w:szCs w:val="22"/>
        </w:rPr>
        <w:t xml:space="preserve">for the </w:t>
      </w:r>
      <w:r w:rsidR="006A4C5A" w:rsidRPr="006A4C5A">
        <w:rPr>
          <w:rFonts w:asciiTheme="majorHAnsi" w:hAnsiTheme="majorHAnsi"/>
          <w:b/>
          <w:sz w:val="22"/>
          <w:szCs w:val="22"/>
        </w:rPr>
        <w:t>.</w:t>
      </w:r>
      <w:proofErr w:type="spellStart"/>
      <w:r w:rsidR="00C44EA1">
        <w:rPr>
          <w:rFonts w:asciiTheme="majorHAnsi" w:hAnsiTheme="majorHAnsi"/>
          <w:b/>
          <w:sz w:val="22"/>
          <w:szCs w:val="22"/>
        </w:rPr>
        <w:t>quebec</w:t>
      </w:r>
      <w:proofErr w:type="spellEnd"/>
      <w:r w:rsidR="00DE559D" w:rsidRPr="002D7FCE">
        <w:rPr>
          <w:rFonts w:asciiTheme="majorHAnsi" w:hAnsiTheme="majorHAnsi"/>
          <w:sz w:val="22"/>
          <w:szCs w:val="22"/>
        </w:rPr>
        <w:t xml:space="preserve"> TLD</w:t>
      </w:r>
      <w:r>
        <w:rPr>
          <w:rFonts w:asciiTheme="majorHAnsi" w:hAnsiTheme="majorHAnsi"/>
          <w:sz w:val="22"/>
          <w:szCs w:val="22"/>
        </w:rPr>
        <w:t xml:space="preserve">, dated </w:t>
      </w:r>
      <w:r w:rsidR="00991967" w:rsidRPr="002D7FCE">
        <w:rPr>
          <w:rFonts w:asciiTheme="majorHAnsi" w:hAnsiTheme="majorHAnsi"/>
          <w:sz w:val="22"/>
          <w:szCs w:val="22"/>
        </w:rPr>
        <w:t>___</w:t>
      </w:r>
      <w:r w:rsidR="002455C8">
        <w:rPr>
          <w:rFonts w:asciiTheme="majorHAnsi" w:hAnsiTheme="majorHAnsi"/>
          <w:sz w:val="22"/>
          <w:szCs w:val="22"/>
        </w:rPr>
        <w:t>__________________________</w:t>
      </w:r>
      <w:r w:rsidR="00991967" w:rsidRPr="002D7FCE">
        <w:rPr>
          <w:rFonts w:asciiTheme="majorHAnsi" w:hAnsiTheme="majorHAnsi"/>
          <w:sz w:val="22"/>
          <w:szCs w:val="22"/>
        </w:rPr>
        <w:t>_</w:t>
      </w:r>
      <w:r w:rsidRPr="002D7FCE">
        <w:rPr>
          <w:rFonts w:asciiTheme="majorHAnsi" w:hAnsiTheme="majorHAnsi"/>
          <w:sz w:val="22"/>
          <w:szCs w:val="22"/>
        </w:rPr>
        <w:t xml:space="preserve"> </w:t>
      </w:r>
      <w:r>
        <w:rPr>
          <w:rFonts w:asciiTheme="majorHAnsi" w:hAnsiTheme="majorHAnsi"/>
          <w:sz w:val="22"/>
          <w:szCs w:val="22"/>
        </w:rPr>
        <w:t>(the “Registry Agreement”), between ICANN and</w:t>
      </w:r>
      <w:r w:rsidR="00C44EA1">
        <w:rPr>
          <w:rFonts w:asciiTheme="majorHAnsi" w:hAnsiTheme="majorHAnsi"/>
          <w:sz w:val="22"/>
          <w:szCs w:val="22"/>
        </w:rPr>
        <w:t xml:space="preserve"> </w:t>
      </w:r>
      <w:bookmarkStart w:id="0" w:name="_GoBack"/>
      <w:proofErr w:type="spellStart"/>
      <w:r w:rsidR="00C44EA1" w:rsidRPr="00C44EA1">
        <w:rPr>
          <w:rFonts w:asciiTheme="majorHAnsi" w:hAnsiTheme="majorHAnsi"/>
          <w:sz w:val="22"/>
          <w:szCs w:val="22"/>
        </w:rPr>
        <w:t>PointQuébec</w:t>
      </w:r>
      <w:bookmarkEnd w:id="0"/>
      <w:proofErr w:type="spellEnd"/>
      <w:r w:rsidR="00C44EA1" w:rsidRPr="00C44EA1">
        <w:rPr>
          <w:rFonts w:asciiTheme="majorHAnsi" w:hAnsiTheme="majorHAnsi"/>
          <w:sz w:val="22"/>
          <w:szCs w:val="22"/>
        </w:rPr>
        <w:t>, Inc.</w:t>
      </w:r>
      <w:r>
        <w:rPr>
          <w:rFonts w:asciiTheme="majorHAnsi" w:hAnsiTheme="majorHAnsi"/>
          <w:sz w:val="22"/>
          <w:szCs w:val="22"/>
        </w:rPr>
        <w:t xml:space="preserve"> (“Registry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2A428972" w14:textId="77777777" w:rsidR="00682E39" w:rsidRDefault="00682E39" w:rsidP="00682E39">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125B21AD"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FC6C2B">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4A9CC9E3"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w:t>
      </w:r>
      <w:r w:rsidR="00706516">
        <w:rPr>
          <w:rFonts w:asciiTheme="majorHAnsi" w:eastAsia="SimSun" w:hAnsiTheme="majorHAnsi" w:cs="Times New Roman"/>
          <w:sz w:val="22"/>
          <w:szCs w:val="22"/>
          <w:lang w:eastAsia="zh-CN"/>
        </w:rPr>
        <w:t>lobal</w:t>
      </w:r>
      <w:r>
        <w:rPr>
          <w:rFonts w:asciiTheme="majorHAnsi" w:eastAsia="SimSun" w:hAnsiTheme="majorHAnsi" w:cs="Times New Roman"/>
          <w:sz w:val="22"/>
          <w:szCs w:val="22"/>
          <w:lang w:eastAsia="zh-CN"/>
        </w:rPr>
        <w:t xml:space="preserve"> Domains Division</w:t>
      </w:r>
    </w:p>
    <w:p w14:paraId="7C2C32E1" w14:textId="77777777" w:rsidR="00C44EA1" w:rsidRDefault="00C44EA1">
      <w:pPr>
        <w:ind w:left="720"/>
        <w:jc w:val="left"/>
        <w:rPr>
          <w:rFonts w:asciiTheme="majorHAnsi" w:hAnsiTheme="majorHAnsi"/>
          <w:b/>
          <w:caps/>
          <w:sz w:val="22"/>
          <w:szCs w:val="22"/>
        </w:rPr>
      </w:pPr>
      <w:r w:rsidRPr="00C44EA1">
        <w:rPr>
          <w:rFonts w:asciiTheme="majorHAnsi" w:hAnsiTheme="majorHAnsi"/>
          <w:b/>
          <w:caps/>
          <w:sz w:val="22"/>
          <w:szCs w:val="22"/>
        </w:rPr>
        <w:t xml:space="preserve">PointQuébec, Inc. </w:t>
      </w:r>
    </w:p>
    <w:p w14:paraId="59693B6E" w14:textId="77777777" w:rsidR="00C44EA1" w:rsidRDefault="00C44EA1">
      <w:pPr>
        <w:ind w:left="720"/>
        <w:jc w:val="left"/>
        <w:rPr>
          <w:rFonts w:asciiTheme="majorHAnsi" w:hAnsiTheme="majorHAnsi"/>
          <w:b/>
          <w:caps/>
          <w:sz w:val="22"/>
          <w:szCs w:val="22"/>
        </w:rPr>
      </w:pPr>
    </w:p>
    <w:p w14:paraId="3519CF84" w14:textId="77777777" w:rsidR="00C44EA1" w:rsidRDefault="00C44EA1">
      <w:pPr>
        <w:ind w:left="720"/>
        <w:jc w:val="left"/>
        <w:rPr>
          <w:rFonts w:asciiTheme="majorHAnsi" w:hAnsiTheme="majorHAnsi"/>
          <w:b/>
          <w:caps/>
          <w:sz w:val="22"/>
          <w:szCs w:val="22"/>
        </w:rPr>
      </w:pPr>
    </w:p>
    <w:p w14:paraId="3A3ACBA7" w14:textId="77777777" w:rsidR="00C44EA1" w:rsidRDefault="00C44EA1">
      <w:pPr>
        <w:ind w:left="720"/>
        <w:jc w:val="left"/>
        <w:rPr>
          <w:rFonts w:asciiTheme="majorHAnsi" w:hAnsiTheme="majorHAnsi"/>
          <w:b/>
          <w:caps/>
          <w:sz w:val="22"/>
          <w:szCs w:val="22"/>
        </w:rPr>
      </w:pPr>
    </w:p>
    <w:p w14:paraId="7E5CA994" w14:textId="71CED24F" w:rsidR="0068104B" w:rsidRDefault="003B2258">
      <w:pPr>
        <w:ind w:left="720"/>
        <w:jc w:val="left"/>
        <w:rPr>
          <w:rFonts w:asciiTheme="majorHAnsi" w:eastAsia="SimSun" w:hAnsiTheme="majorHAnsi" w:cs="Times New Roman"/>
          <w:sz w:val="22"/>
          <w:szCs w:val="22"/>
          <w:lang w:eastAsia="zh-CN"/>
        </w:rPr>
      </w:pPr>
      <w:r w:rsidRPr="002D7FCE">
        <w:rPr>
          <w:rFonts w:asciiTheme="majorHAnsi" w:eastAsia="SimSun" w:hAnsiTheme="majorHAnsi" w:cs="Times New Roman"/>
          <w:sz w:val="22"/>
          <w:szCs w:val="22"/>
          <w:lang w:eastAsia="zh-CN"/>
        </w:rPr>
        <w:t>By:</w:t>
      </w:r>
      <w:r w:rsidRPr="002D7FCE">
        <w:rPr>
          <w:rFonts w:asciiTheme="majorHAnsi" w:eastAsia="SimSun" w:hAnsiTheme="majorHAnsi" w:cs="Times New Roman"/>
          <w:sz w:val="22"/>
          <w:szCs w:val="22"/>
          <w:lang w:eastAsia="zh-CN"/>
        </w:rPr>
        <w:tab/>
        <w:t>_____________________________</w:t>
      </w:r>
      <w:r w:rsidRPr="002D7FCE">
        <w:rPr>
          <w:rFonts w:asciiTheme="majorHAnsi" w:eastAsia="SimSun" w:hAnsiTheme="majorHAnsi" w:cs="Times New Roman"/>
          <w:sz w:val="22"/>
          <w:szCs w:val="22"/>
          <w:lang w:eastAsia="zh-CN"/>
        </w:rPr>
        <w:br/>
      </w:r>
      <w:r w:rsidRPr="002D7FCE">
        <w:rPr>
          <w:rFonts w:asciiTheme="majorHAnsi" w:eastAsia="SimSun" w:hAnsiTheme="majorHAnsi" w:cs="Times New Roman"/>
          <w:sz w:val="22"/>
          <w:szCs w:val="22"/>
          <w:lang w:eastAsia="zh-CN"/>
        </w:rPr>
        <w:tab/>
      </w:r>
      <w:r w:rsidR="00C44EA1">
        <w:rPr>
          <w:rFonts w:asciiTheme="majorHAnsi" w:eastAsia="SimSun" w:hAnsiTheme="majorHAnsi" w:cs="Times New Roman"/>
          <w:sz w:val="22"/>
          <w:szCs w:val="22"/>
          <w:lang w:eastAsia="zh-CN"/>
        </w:rPr>
        <w:t>Normand Fortier</w:t>
      </w:r>
    </w:p>
    <w:p w14:paraId="5520E702" w14:textId="55EF3BE0" w:rsidR="008B4DB1" w:rsidRDefault="00C44EA1" w:rsidP="0068104B">
      <w:pPr>
        <w:ind w:left="720" w:firstLine="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President</w:t>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2A328F" w:rsidRDefault="002A328F">
      <w:r>
        <w:separator/>
      </w:r>
    </w:p>
  </w:endnote>
  <w:endnote w:type="continuationSeparator" w:id="0">
    <w:p w14:paraId="14617531" w14:textId="77777777" w:rsidR="002A328F" w:rsidRDefault="002A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2A328F" w:rsidRDefault="002A328F">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717452">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2A328F" w:rsidRDefault="002A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2A328F" w:rsidRDefault="002A328F">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2A328F" w14:paraId="1C7C7AF6" w14:textId="77777777">
        <w:tc>
          <w:tcPr>
            <w:tcW w:w="2880" w:type="dxa"/>
            <w:tcBorders>
              <w:bottom w:val="single" w:sz="4" w:space="0" w:color="auto"/>
            </w:tcBorders>
          </w:tcPr>
          <w:p w14:paraId="0D51F6FA" w14:textId="77777777" w:rsidR="002A328F" w:rsidRDefault="002A328F">
            <w:pPr>
              <w:pStyle w:val="FootnoteSeparator"/>
            </w:pPr>
          </w:p>
        </w:tc>
      </w:tr>
      <w:tr w:rsidR="002A328F" w14:paraId="23FA0C02" w14:textId="77777777">
        <w:tc>
          <w:tcPr>
            <w:tcW w:w="2880" w:type="dxa"/>
            <w:tcBorders>
              <w:top w:val="single" w:sz="4" w:space="0" w:color="auto"/>
            </w:tcBorders>
          </w:tcPr>
          <w:p w14:paraId="6E85F44C" w14:textId="77777777" w:rsidR="002A328F" w:rsidRDefault="002A328F">
            <w:pPr>
              <w:pStyle w:val="FootnoteSeparator"/>
            </w:pPr>
            <w:r>
              <w:t>(continued…)</w:t>
            </w:r>
          </w:p>
        </w:tc>
      </w:tr>
    </w:tbl>
    <w:p w14:paraId="4AAB8111" w14:textId="77777777" w:rsidR="002A328F" w:rsidRDefault="002A328F">
      <w:pPr>
        <w:pStyle w:val="Footer"/>
      </w:pPr>
    </w:p>
  </w:footnote>
  <w:footnote w:type="continuationNotice" w:id="1">
    <w:p w14:paraId="3791D7E9" w14:textId="77777777" w:rsidR="002A328F" w:rsidRDefault="002A3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182A" w14:textId="2F134C94" w:rsidR="002A328F" w:rsidRPr="00F62C42" w:rsidRDefault="002A328F" w:rsidP="003F3B84">
    <w:pPr>
      <w:pStyle w:val="Header"/>
      <w:jc w:val="right"/>
      <w:rPr>
        <w:rFonts w:ascii="Times New Roman" w:hAnsi="Times New Roman" w:cs="Times New Roman"/>
      </w:rPr>
    </w:pPr>
    <w:r w:rsidRPr="00F62C42">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vJ47v5tR+UoKLdrbLg25V9/enco=" w:salt="ElQLKnJJkQGIt7C3tWtZV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61980"/>
    <w:rsid w:val="00063980"/>
    <w:rsid w:val="00066C46"/>
    <w:rsid w:val="00121006"/>
    <w:rsid w:val="001436F3"/>
    <w:rsid w:val="001623AD"/>
    <w:rsid w:val="00187D62"/>
    <w:rsid w:val="001B1471"/>
    <w:rsid w:val="001C0AB3"/>
    <w:rsid w:val="001C47AD"/>
    <w:rsid w:val="002455C8"/>
    <w:rsid w:val="002653DB"/>
    <w:rsid w:val="002A328F"/>
    <w:rsid w:val="002A3550"/>
    <w:rsid w:val="002A5CC4"/>
    <w:rsid w:val="002C7B91"/>
    <w:rsid w:val="002D7FCE"/>
    <w:rsid w:val="00334FDD"/>
    <w:rsid w:val="003A50EA"/>
    <w:rsid w:val="003B2258"/>
    <w:rsid w:val="003F3B84"/>
    <w:rsid w:val="00425E7B"/>
    <w:rsid w:val="0068104B"/>
    <w:rsid w:val="00682E39"/>
    <w:rsid w:val="00684766"/>
    <w:rsid w:val="006A4C5A"/>
    <w:rsid w:val="00706516"/>
    <w:rsid w:val="00717452"/>
    <w:rsid w:val="00740A5A"/>
    <w:rsid w:val="00794748"/>
    <w:rsid w:val="00797FAD"/>
    <w:rsid w:val="007A3B6E"/>
    <w:rsid w:val="007B39DD"/>
    <w:rsid w:val="007C2E26"/>
    <w:rsid w:val="007F5051"/>
    <w:rsid w:val="00815824"/>
    <w:rsid w:val="00830A03"/>
    <w:rsid w:val="00860C37"/>
    <w:rsid w:val="008B4DB1"/>
    <w:rsid w:val="008E15BA"/>
    <w:rsid w:val="0091537F"/>
    <w:rsid w:val="00916AE7"/>
    <w:rsid w:val="00991967"/>
    <w:rsid w:val="009C4C20"/>
    <w:rsid w:val="00A82308"/>
    <w:rsid w:val="00AF0CC9"/>
    <w:rsid w:val="00B72C41"/>
    <w:rsid w:val="00B87B49"/>
    <w:rsid w:val="00BD0A0C"/>
    <w:rsid w:val="00C257CD"/>
    <w:rsid w:val="00C44EA1"/>
    <w:rsid w:val="00C81AD7"/>
    <w:rsid w:val="00CE5158"/>
    <w:rsid w:val="00D053B7"/>
    <w:rsid w:val="00D43037"/>
    <w:rsid w:val="00D4531D"/>
    <w:rsid w:val="00D86735"/>
    <w:rsid w:val="00DD23CD"/>
    <w:rsid w:val="00DE559D"/>
    <w:rsid w:val="00DF58D4"/>
    <w:rsid w:val="00E56D61"/>
    <w:rsid w:val="00E90DAC"/>
    <w:rsid w:val="00F031EE"/>
    <w:rsid w:val="00F62204"/>
    <w:rsid w:val="00F62C42"/>
    <w:rsid w:val="00F63C0F"/>
    <w:rsid w:val="00FC6C2B"/>
    <w:rsid w:val="00FE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2013-12-10T19:42:00Z</dcterms:created>
  <dcterms:modified xsi:type="dcterms:W3CDTF">2013-12-10T19:42:00Z</dcterms:modified>
</cp:coreProperties>
</file>