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F88" w:rsidRDefault="005846B6">
      <w:pPr>
        <w:spacing w:after="240"/>
        <w:jc w:val="center"/>
        <w:rPr>
          <w:rFonts w:asciiTheme="majorHAnsi" w:hAnsiTheme="majorHAnsi" w:cstheme="majorBidi"/>
          <w:b/>
          <w:bCs/>
        </w:rPr>
      </w:pPr>
      <w:bookmarkStart w:id="0" w:name="_GoBack"/>
      <w:bookmarkEnd w:id="0"/>
      <w:r>
        <w:rPr>
          <w:rFonts w:asciiTheme="majorHAnsi" w:hAnsiTheme="majorHAnsi" w:cstheme="majorBidi"/>
          <w:b/>
          <w:bCs/>
        </w:rPr>
        <w:t>ADDENDUM TO REGISTRY AGREEMENT</w:t>
      </w:r>
    </w:p>
    <w:p w:rsidR="007C4F88" w:rsidRDefault="005846B6">
      <w:pPr>
        <w:spacing w:after="240"/>
        <w:rPr>
          <w:rFonts w:asciiTheme="majorHAnsi" w:hAnsiTheme="majorHAnsi" w:cstheme="majorBidi"/>
        </w:rPr>
      </w:pPr>
      <w:r>
        <w:rPr>
          <w:rFonts w:asciiTheme="majorHAnsi" w:hAnsiTheme="majorHAnsi" w:cstheme="majorBidi"/>
        </w:rPr>
        <w:tab/>
        <w:t xml:space="preserve">This Addendum to that certain Registry Agreement, dated as of </w:t>
      </w:r>
      <w:r w:rsidR="00DC0A8A">
        <w:rPr>
          <w:rFonts w:asciiTheme="majorHAnsi" w:hAnsiTheme="majorHAnsi" w:cstheme="majorBidi"/>
        </w:rPr>
        <w:t>30 June 2019</w:t>
      </w:r>
      <w:r>
        <w:rPr>
          <w:rFonts w:asciiTheme="majorHAnsi" w:hAnsiTheme="majorHAnsi" w:cstheme="majorBidi"/>
        </w:rPr>
        <w:t xml:space="preserve">, for the </w:t>
      </w:r>
      <w:r>
        <w:rPr>
          <w:rFonts w:asciiTheme="majorHAnsi" w:hAnsiTheme="majorHAnsi" w:cstheme="majorBidi"/>
          <w:b/>
          <w:bCs/>
        </w:rPr>
        <w:t>.biz</w:t>
      </w:r>
      <w:r>
        <w:rPr>
          <w:rFonts w:asciiTheme="majorHAnsi" w:hAnsiTheme="majorHAnsi" w:cstheme="majorBidi"/>
        </w:rPr>
        <w:t xml:space="preserve"> Top-Level Domain (the “</w:t>
      </w:r>
      <w:r>
        <w:rPr>
          <w:rFonts w:asciiTheme="majorHAnsi" w:hAnsiTheme="majorHAnsi" w:cstheme="majorBidi"/>
          <w:u w:val="single"/>
        </w:rPr>
        <w:t>Registry Agreement</w:t>
      </w:r>
      <w:r>
        <w:rPr>
          <w:rFonts w:asciiTheme="majorHAnsi" w:hAnsiTheme="majorHAnsi" w:cstheme="majorBidi"/>
        </w:rPr>
        <w:t>”), by and between Internet Corporation for Assigned Names and Numbers, a California nonprofit public benefit corporation (“</w:t>
      </w:r>
      <w:r>
        <w:rPr>
          <w:rFonts w:asciiTheme="majorHAnsi" w:hAnsiTheme="majorHAnsi" w:cstheme="majorBidi"/>
          <w:u w:val="single"/>
        </w:rPr>
        <w:t>ICANN</w:t>
      </w:r>
      <w:r>
        <w:rPr>
          <w:rFonts w:asciiTheme="majorHAnsi" w:hAnsiTheme="majorHAnsi" w:cstheme="majorBidi"/>
        </w:rPr>
        <w:t xml:space="preserve">”), and </w:t>
      </w:r>
      <w:r w:rsidR="00EE084F" w:rsidRPr="00EE084F">
        <w:rPr>
          <w:rFonts w:asciiTheme="majorHAnsi" w:hAnsiTheme="majorHAnsi" w:cstheme="majorBidi"/>
        </w:rPr>
        <w:t>Registry Services, LLC</w:t>
      </w:r>
      <w:r w:rsidRPr="00EE084F">
        <w:rPr>
          <w:rFonts w:asciiTheme="majorHAnsi" w:hAnsiTheme="majorHAnsi" w:cstheme="majorBidi"/>
        </w:rPr>
        <w:t xml:space="preserve">, a Delaware </w:t>
      </w:r>
      <w:r w:rsidR="00EE084F" w:rsidRPr="00EE084F">
        <w:rPr>
          <w:rFonts w:asciiTheme="majorHAnsi" w:hAnsiTheme="majorHAnsi" w:cstheme="majorBidi"/>
        </w:rPr>
        <w:t>limited liability company</w:t>
      </w:r>
      <w:r>
        <w:rPr>
          <w:rFonts w:asciiTheme="majorHAnsi" w:hAnsiTheme="majorHAnsi" w:cstheme="majorBidi"/>
        </w:rPr>
        <w:t xml:space="preserve"> (“</w:t>
      </w:r>
      <w:r>
        <w:rPr>
          <w:rFonts w:asciiTheme="majorHAnsi" w:hAnsiTheme="majorHAnsi" w:cstheme="majorBidi"/>
          <w:u w:val="single"/>
        </w:rPr>
        <w:t>Registry Operator</w:t>
      </w:r>
      <w:r>
        <w:rPr>
          <w:rFonts w:asciiTheme="majorHAnsi" w:hAnsiTheme="majorHAnsi" w:cstheme="majorBidi"/>
        </w:rPr>
        <w:t>”</w:t>
      </w:r>
      <w:r w:rsidR="00052D86">
        <w:rPr>
          <w:rFonts w:asciiTheme="majorHAnsi" w:hAnsiTheme="majorHAnsi" w:cstheme="majorBidi"/>
        </w:rPr>
        <w:t xml:space="preserve">), is dated as of </w:t>
      </w:r>
      <w:r w:rsidR="00DC0A8A">
        <w:rPr>
          <w:rFonts w:asciiTheme="majorHAnsi" w:hAnsiTheme="majorHAnsi" w:cstheme="majorBidi"/>
        </w:rPr>
        <w:t>30 June 2019</w:t>
      </w:r>
      <w:r>
        <w:rPr>
          <w:rFonts w:asciiTheme="majorHAnsi" w:hAnsiTheme="majorHAnsi" w:cstheme="majorBidi"/>
        </w:rPr>
        <w:t xml:space="preserve"> and is by and among ICANN and Registry Operator (“</w:t>
      </w:r>
      <w:r>
        <w:rPr>
          <w:rFonts w:asciiTheme="majorHAnsi" w:hAnsiTheme="majorHAnsi" w:cstheme="majorBidi"/>
          <w:u w:val="single"/>
        </w:rPr>
        <w:t>Addendum</w:t>
      </w:r>
      <w:r>
        <w:rPr>
          <w:rFonts w:asciiTheme="majorHAnsi" w:hAnsiTheme="majorHAnsi" w:cstheme="majorBidi"/>
        </w:rPr>
        <w:t>”).  ICANN and Registry Operator are hereinafter referred to collectively as the “</w:t>
      </w:r>
      <w:r>
        <w:rPr>
          <w:rFonts w:asciiTheme="majorHAnsi" w:hAnsiTheme="majorHAnsi" w:cstheme="majorBidi"/>
          <w:u w:val="single"/>
        </w:rPr>
        <w:t>Parties</w:t>
      </w:r>
      <w:r>
        <w:rPr>
          <w:rFonts w:asciiTheme="majorHAnsi" w:hAnsiTheme="majorHAnsi" w:cstheme="majorBidi"/>
        </w:rPr>
        <w:t>” and individually as a “</w:t>
      </w:r>
      <w:r>
        <w:rPr>
          <w:rFonts w:asciiTheme="majorHAnsi" w:hAnsiTheme="majorHAnsi" w:cstheme="majorBidi"/>
          <w:u w:val="single"/>
        </w:rPr>
        <w:t>Party</w:t>
      </w:r>
      <w:r>
        <w:rPr>
          <w:rFonts w:asciiTheme="majorHAnsi" w:hAnsiTheme="majorHAnsi" w:cstheme="majorBidi"/>
        </w:rPr>
        <w:t xml:space="preserve">.”  Capitalized terms used and not defined herein will have the respective meanings given thereto in the Registry Agreement.    </w:t>
      </w:r>
    </w:p>
    <w:p w:rsidR="007C4F88" w:rsidRDefault="005846B6">
      <w:pPr>
        <w:spacing w:after="240"/>
        <w:rPr>
          <w:rFonts w:asciiTheme="majorHAnsi" w:hAnsiTheme="majorHAnsi" w:cstheme="majorBidi"/>
        </w:rPr>
      </w:pPr>
      <w:r>
        <w:rPr>
          <w:rFonts w:asciiTheme="majorHAnsi" w:hAnsiTheme="majorHAnsi" w:cstheme="majorBidi"/>
        </w:rPr>
        <w:tab/>
        <w:t>WHEREAS, the Parties previously entered into a registry agreement, dated 22 August 2013;</w:t>
      </w:r>
    </w:p>
    <w:p w:rsidR="007C4F88" w:rsidRDefault="005846B6">
      <w:pPr>
        <w:spacing w:after="240"/>
        <w:rPr>
          <w:rFonts w:asciiTheme="majorHAnsi" w:hAnsiTheme="majorHAnsi" w:cstheme="majorBidi"/>
        </w:rPr>
      </w:pPr>
      <w:r>
        <w:rPr>
          <w:rFonts w:asciiTheme="majorHAnsi" w:hAnsiTheme="majorHAnsi" w:cstheme="majorBidi"/>
        </w:rPr>
        <w:tab/>
        <w:t xml:space="preserve">WHEREAS, the Registry Agreement has certain provisions that are not applicable to a previously delegated top level domain, such as the TLD; </w:t>
      </w:r>
    </w:p>
    <w:p w:rsidR="007C4F88" w:rsidRDefault="005846B6">
      <w:pPr>
        <w:spacing w:after="240"/>
        <w:rPr>
          <w:rFonts w:asciiTheme="majorHAnsi" w:hAnsiTheme="majorHAnsi" w:cstheme="majorBidi"/>
        </w:rPr>
      </w:pPr>
      <w:r>
        <w:rPr>
          <w:rFonts w:asciiTheme="majorHAnsi" w:hAnsiTheme="majorHAnsi" w:cstheme="majorBidi"/>
        </w:rPr>
        <w:tab/>
        <w:t>WHEREAS, the purpose of this Addendum is to amend the Registry Agreement in order to modify the provisions that are not applicable to the TLD; and</w:t>
      </w:r>
    </w:p>
    <w:p w:rsidR="007C4F88" w:rsidRDefault="005846B6">
      <w:pPr>
        <w:spacing w:after="240"/>
        <w:rPr>
          <w:rFonts w:asciiTheme="majorHAnsi" w:hAnsiTheme="majorHAnsi" w:cstheme="majorBidi"/>
        </w:rPr>
      </w:pPr>
      <w:r>
        <w:rPr>
          <w:rFonts w:asciiTheme="majorHAnsi" w:hAnsiTheme="majorHAnsi" w:cstheme="majorBidi"/>
        </w:rPr>
        <w:tab/>
        <w:t xml:space="preserve">WHEREAS, pursuant to Section 7.6 of the Registry Agreement, the parties may enter into bilateral amendments and modifications to the Registry Agreement negotiated solely between the Parties.   </w:t>
      </w:r>
    </w:p>
    <w:p w:rsidR="007C4F88" w:rsidRDefault="005846B6">
      <w:pPr>
        <w:spacing w:after="240"/>
        <w:rPr>
          <w:rFonts w:asciiTheme="majorHAnsi" w:hAnsiTheme="majorHAnsi" w:cstheme="majorBidi"/>
        </w:rPr>
      </w:pPr>
      <w:r>
        <w:rPr>
          <w:rFonts w:asciiTheme="majorHAnsi" w:hAnsiTheme="majorHAnsi" w:cstheme="majorBidi"/>
        </w:rPr>
        <w:tab/>
        <w:t xml:space="preserve">NOW, THEREFORE, in consideration of the above recitals acknowledged herein by reference, the Parties, intending to be legally bound hereby, do agree as follows: </w:t>
      </w:r>
    </w:p>
    <w:p w:rsidR="007C4F88" w:rsidRDefault="005846B6">
      <w:pPr>
        <w:pStyle w:val="ListParagraph"/>
        <w:widowControl w:val="0"/>
        <w:numPr>
          <w:ilvl w:val="0"/>
          <w:numId w:val="1"/>
        </w:numPr>
        <w:spacing w:after="240"/>
        <w:contextualSpacing w:val="0"/>
        <w:rPr>
          <w:rFonts w:asciiTheme="majorHAnsi" w:hAnsiTheme="majorHAnsi" w:cstheme="majorBidi"/>
        </w:rPr>
      </w:pPr>
      <w:r>
        <w:rPr>
          <w:rFonts w:asciiTheme="majorHAnsi" w:hAnsiTheme="majorHAnsi" w:cstheme="majorBidi"/>
        </w:rPr>
        <w:t>No Approved Amendment pursuant to Section 7.6 or Section 7.7 of the Registry Agreement shall amend or modify the specific terms of the Registry Agreement that are modified or amended pursuant to Section 2 of this Addendum (such terms, “</w:t>
      </w:r>
      <w:r>
        <w:rPr>
          <w:rFonts w:asciiTheme="majorHAnsi" w:hAnsiTheme="majorHAnsi" w:cstheme="majorBidi"/>
          <w:u w:val="single"/>
        </w:rPr>
        <w:t>Addendum Terms</w:t>
      </w:r>
      <w:r>
        <w:rPr>
          <w:rFonts w:asciiTheme="majorHAnsi" w:hAnsiTheme="majorHAnsi" w:cstheme="majorBidi"/>
        </w:rPr>
        <w:t xml:space="preserve">”); provided that the foregoing shall not apply to any other terms of any provision of the Registry Agreement, including the remaining unmodified terms of any Sections of the Registry Agreement that include the Addendum Terms.  </w:t>
      </w:r>
      <w:r>
        <w:rPr>
          <w:rFonts w:asciiTheme="majorHAnsi" w:hAnsiTheme="majorHAnsi"/>
        </w:rPr>
        <w:t>If an Approved Amendment is approved in accordance with Section 7.6 or Section 7.7 that would amend or modify any terms of the Registry Agreement that are modified by the Addendum Terms, ICANN and the Registry Operator agree to (i) enter into good faith discussions regarding whether an amendment to such Addendum Terms is appropriate in light of such Approved Amendment and (ii) mutually agree (such agreement not to be unreasonably withheld, conditioned or delayed) on an appropriate amendment to this Addendum or the Registry Agreement.</w:t>
      </w:r>
    </w:p>
    <w:p w:rsidR="007C4F88" w:rsidRDefault="005846B6">
      <w:pPr>
        <w:pStyle w:val="ListParagraph"/>
        <w:widowControl w:val="0"/>
        <w:numPr>
          <w:ilvl w:val="0"/>
          <w:numId w:val="1"/>
        </w:numPr>
        <w:spacing w:after="480"/>
        <w:contextualSpacing w:val="0"/>
        <w:rPr>
          <w:rFonts w:asciiTheme="majorHAnsi" w:hAnsiTheme="majorHAnsi" w:cstheme="majorBidi"/>
        </w:rPr>
      </w:pPr>
      <w:r>
        <w:rPr>
          <w:rFonts w:asciiTheme="majorHAnsi" w:hAnsiTheme="majorHAnsi"/>
        </w:rPr>
        <w:t>The following Sections of the Registry Agreement are hereby modified by the Addendum Terms set forth in the column across from such Section.</w:t>
      </w:r>
    </w:p>
    <w:tbl>
      <w:tblPr>
        <w:tblStyle w:val="TableGrid"/>
        <w:tblW w:w="0" w:type="auto"/>
        <w:tblInd w:w="360" w:type="dxa"/>
        <w:tblLook w:val="04A0" w:firstRow="1" w:lastRow="0" w:firstColumn="1" w:lastColumn="0" w:noHBand="0" w:noVBand="1"/>
      </w:tblPr>
      <w:tblGrid>
        <w:gridCol w:w="1638"/>
        <w:gridCol w:w="7352"/>
      </w:tblGrid>
      <w:tr w:rsidR="007C4F88">
        <w:trPr>
          <w:tblHeader/>
        </w:trPr>
        <w:tc>
          <w:tcPr>
            <w:tcW w:w="1638" w:type="dxa"/>
            <w:shd w:val="clear" w:color="auto" w:fill="0070C0"/>
          </w:tcPr>
          <w:p w:rsidR="007C4F88" w:rsidRDefault="005846B6">
            <w:pPr>
              <w:widowControl w:val="0"/>
              <w:spacing w:after="240"/>
              <w:jc w:val="center"/>
              <w:rPr>
                <w:rFonts w:asciiTheme="majorHAnsi" w:hAnsiTheme="majorHAnsi" w:cstheme="majorBidi"/>
                <w:b/>
                <w:bCs/>
                <w:color w:val="FFFFFF" w:themeColor="background1"/>
              </w:rPr>
            </w:pPr>
            <w:r>
              <w:rPr>
                <w:rFonts w:asciiTheme="majorHAnsi" w:hAnsiTheme="majorHAnsi" w:cstheme="majorBidi"/>
                <w:b/>
                <w:bCs/>
                <w:color w:val="FFFFFF" w:themeColor="background1"/>
              </w:rPr>
              <w:lastRenderedPageBreak/>
              <w:t>Section</w:t>
            </w:r>
          </w:p>
        </w:tc>
        <w:tc>
          <w:tcPr>
            <w:tcW w:w="7352" w:type="dxa"/>
            <w:shd w:val="clear" w:color="auto" w:fill="0070C0"/>
          </w:tcPr>
          <w:p w:rsidR="007C4F88" w:rsidRDefault="005846B6">
            <w:pPr>
              <w:widowControl w:val="0"/>
              <w:spacing w:after="240"/>
              <w:jc w:val="center"/>
              <w:rPr>
                <w:rFonts w:asciiTheme="majorHAnsi" w:hAnsiTheme="majorHAnsi" w:cstheme="majorBidi"/>
                <w:b/>
                <w:bCs/>
                <w:color w:val="FFFFFF" w:themeColor="background1"/>
              </w:rPr>
            </w:pPr>
            <w:r>
              <w:rPr>
                <w:rFonts w:asciiTheme="majorHAnsi" w:hAnsiTheme="majorHAnsi" w:cstheme="majorBidi"/>
                <w:b/>
                <w:bCs/>
                <w:color w:val="FFFFFF" w:themeColor="background1"/>
              </w:rPr>
              <w:t>Addendum Terms</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1.1</w:t>
            </w:r>
            <w:r>
              <w:rPr>
                <w:rFonts w:asciiTheme="majorHAnsi" w:hAnsiTheme="majorHAnsi" w:cstheme="majorBidi"/>
              </w:rPr>
              <w:tab/>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 xml:space="preserve">The following terms of Section 1.1 shall be of no force or effect: </w:t>
            </w:r>
          </w:p>
          <w:p w:rsidR="007C4F88" w:rsidRDefault="005846B6">
            <w:pPr>
              <w:pStyle w:val="BodyText"/>
              <w:ind w:left="882"/>
            </w:pPr>
            <w:r>
              <w:t xml:space="preserve">“, subject to the requirements and necessary approvals for delegation of the TLD and entry into the root-zone” </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1.3(a)(i)</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1.3(a)(i) are hereby amended and restated in their entirety as follows:</w:t>
            </w:r>
          </w:p>
          <w:p w:rsidR="007C4F88" w:rsidRDefault="005846B6">
            <w:pPr>
              <w:widowControl w:val="0"/>
              <w:spacing w:after="240"/>
              <w:ind w:left="882"/>
              <w:rPr>
                <w:rFonts w:asciiTheme="majorHAnsi" w:hAnsiTheme="majorHAnsi" w:cstheme="majorBidi"/>
              </w:rPr>
            </w:pPr>
            <w:r>
              <w:rPr>
                <w:rFonts w:asciiTheme="majorHAnsi" w:hAnsiTheme="majorHAnsi"/>
              </w:rPr>
              <w:t>“all material information provided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w:t>
            </w:r>
            <w:r>
              <w:rPr>
                <w:rFonts w:asciiTheme="majorHAnsi" w:hAnsiTheme="majorHAnsi"/>
                <w:spacing w:val="-28"/>
              </w:rPr>
              <w:t xml:space="preserve"> </w:t>
            </w:r>
            <w:r>
              <w:rPr>
                <w:rFonts w:asciiTheme="majorHAnsi" w:hAnsiTheme="majorHAnsi"/>
              </w:rPr>
              <w:t>ICANN; and”</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1.3(a)(iii)</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 xml:space="preserve">The terms of Section 1.3(a)(iii) shall be of no force or effect.   </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2.3</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following terms of Section 2.3 are hereby amended and restated in their entirety as follows:</w:t>
            </w:r>
          </w:p>
          <w:p w:rsidR="007C4F88" w:rsidRDefault="005846B6">
            <w:pPr>
              <w:pStyle w:val="BodyTextIndent"/>
              <w:rPr>
                <w:rFonts w:asciiTheme="majorHAnsi" w:hAnsiTheme="majorHAnsi"/>
              </w:rPr>
            </w:pPr>
            <w:r>
              <w:rPr>
                <w:rFonts w:asciiTheme="majorHAnsi" w:hAnsiTheme="majorHAnsi"/>
              </w:rPr>
              <w:t>“</w:t>
            </w:r>
            <w:r>
              <w:rPr>
                <w:rFonts w:asciiTheme="majorHAnsi" w:hAnsiTheme="majorHAnsi"/>
                <w:b/>
              </w:rPr>
              <w:t>Data Escrow</w:t>
            </w:r>
            <w:r>
              <w:rPr>
                <w:rFonts w:asciiTheme="majorHAnsi" w:hAnsiTheme="majorHAnsi"/>
              </w:rPr>
              <w:t>. Registry Operator shall comply with the registry data escrow procedures</w:t>
            </w:r>
            <w:r>
              <w:rPr>
                <w:rFonts w:asciiTheme="majorHAnsi" w:hAnsiTheme="majorHAnsi"/>
                <w:spacing w:val="-4"/>
              </w:rPr>
              <w:t xml:space="preserve"> </w:t>
            </w:r>
            <w:r>
              <w:rPr>
                <w:rFonts w:asciiTheme="majorHAnsi" w:hAnsiTheme="majorHAnsi"/>
              </w:rPr>
              <w:t>set</w:t>
            </w:r>
            <w:r>
              <w:rPr>
                <w:rFonts w:asciiTheme="majorHAnsi" w:hAnsiTheme="majorHAnsi"/>
                <w:spacing w:val="-6"/>
              </w:rPr>
              <w:t xml:space="preserve"> </w:t>
            </w:r>
            <w:r>
              <w:rPr>
                <w:rFonts w:asciiTheme="majorHAnsi" w:hAnsiTheme="majorHAnsi"/>
              </w:rPr>
              <w:t>forth</w:t>
            </w:r>
            <w:r>
              <w:rPr>
                <w:rFonts w:asciiTheme="majorHAnsi" w:hAnsiTheme="majorHAnsi"/>
                <w:spacing w:val="-7"/>
              </w:rPr>
              <w:t xml:space="preserve"> </w:t>
            </w:r>
            <w:r>
              <w:rPr>
                <w:rFonts w:asciiTheme="majorHAnsi" w:hAnsiTheme="majorHAnsi"/>
              </w:rPr>
              <w:t>in</w:t>
            </w:r>
            <w:r>
              <w:rPr>
                <w:rFonts w:asciiTheme="majorHAnsi" w:hAnsiTheme="majorHAnsi"/>
                <w:spacing w:val="-4"/>
              </w:rPr>
              <w:t xml:space="preserve"> </w:t>
            </w:r>
            <w:r>
              <w:rPr>
                <w:rFonts w:asciiTheme="majorHAnsi" w:hAnsiTheme="majorHAnsi"/>
              </w:rPr>
              <w:t>Specification</w:t>
            </w:r>
            <w:r>
              <w:rPr>
                <w:rFonts w:asciiTheme="majorHAnsi" w:hAnsiTheme="majorHAnsi"/>
                <w:spacing w:val="-4"/>
              </w:rPr>
              <w:t xml:space="preserve"> </w:t>
            </w:r>
            <w:r>
              <w:rPr>
                <w:rFonts w:asciiTheme="majorHAnsi" w:hAnsiTheme="majorHAnsi"/>
              </w:rPr>
              <w:t>2</w:t>
            </w:r>
            <w:r>
              <w:rPr>
                <w:rFonts w:asciiTheme="majorHAnsi" w:hAnsiTheme="majorHAnsi"/>
                <w:spacing w:val="-4"/>
              </w:rPr>
              <w:t xml:space="preserve"> </w:t>
            </w:r>
            <w:r>
              <w:rPr>
                <w:rFonts w:asciiTheme="majorHAnsi" w:hAnsiTheme="majorHAnsi"/>
              </w:rPr>
              <w:t>attached</w:t>
            </w:r>
            <w:r>
              <w:rPr>
                <w:rFonts w:asciiTheme="majorHAnsi" w:hAnsiTheme="majorHAnsi"/>
                <w:spacing w:val="-4"/>
              </w:rPr>
              <w:t xml:space="preserve"> </w:t>
            </w:r>
            <w:r>
              <w:rPr>
                <w:rFonts w:asciiTheme="majorHAnsi" w:hAnsiTheme="majorHAnsi"/>
              </w:rPr>
              <w:t>hereto</w:t>
            </w:r>
            <w:r>
              <w:rPr>
                <w:rFonts w:asciiTheme="majorHAnsi" w:hAnsiTheme="majorHAnsi"/>
                <w:spacing w:val="-7"/>
              </w:rPr>
              <w:t xml:space="preserve"> </w:t>
            </w:r>
            <w:r>
              <w:rPr>
                <w:rFonts w:asciiTheme="majorHAnsi" w:hAnsiTheme="majorHAnsi"/>
              </w:rPr>
              <w:t>(“Specification</w:t>
            </w:r>
            <w:r>
              <w:rPr>
                <w:rFonts w:asciiTheme="majorHAnsi" w:hAnsiTheme="majorHAnsi"/>
                <w:spacing w:val="-4"/>
              </w:rPr>
              <w:t xml:space="preserve"> </w:t>
            </w:r>
            <w:r>
              <w:rPr>
                <w:rFonts w:asciiTheme="majorHAnsi" w:hAnsiTheme="majorHAnsi"/>
              </w:rPr>
              <w:t>2”).”</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2.4</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2.4 are hereby amended and restated in their entirety as follows:</w:t>
            </w:r>
          </w:p>
          <w:p w:rsidR="007C4F88" w:rsidRDefault="005846B6">
            <w:pPr>
              <w:pStyle w:val="BodyTextIndent"/>
              <w:rPr>
                <w:rFonts w:asciiTheme="majorHAnsi" w:hAnsiTheme="majorHAnsi"/>
              </w:rPr>
            </w:pPr>
            <w:r>
              <w:rPr>
                <w:rFonts w:asciiTheme="majorHAnsi" w:hAnsiTheme="majorHAnsi"/>
              </w:rPr>
              <w:t>“</w:t>
            </w:r>
            <w:r>
              <w:rPr>
                <w:rFonts w:asciiTheme="majorHAnsi" w:hAnsiTheme="majorHAnsi"/>
                <w:b/>
                <w:bCs/>
              </w:rPr>
              <w:t>Monthly Reporting</w:t>
            </w:r>
            <w:r>
              <w:rPr>
                <w:rFonts w:asciiTheme="majorHAnsi" w:hAnsiTheme="majorHAnsi"/>
              </w:rPr>
              <w:t>. Within twenty (20) calendar days following the end of each calendar month, Registry Operator shall deliver to ICANN reports in the format set forth in Specification 3 attached hereto (“Specification 3”).</w:t>
            </w:r>
            <w:r w:rsidR="00C1753E">
              <w:rPr>
                <w:rFonts w:asciiTheme="majorHAnsi" w:hAnsiTheme="majorHAnsi"/>
              </w:rPr>
              <w:t>”</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2.8</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the first sentence of Section 2.8 are hereby amended and restated in their entirety as follows:</w:t>
            </w:r>
          </w:p>
          <w:p w:rsidR="007C4F88" w:rsidRDefault="00C1753E" w:rsidP="00C1753E">
            <w:pPr>
              <w:pStyle w:val="BodyText"/>
              <w:ind w:left="882"/>
            </w:pPr>
            <w:r>
              <w:t>“</w:t>
            </w:r>
            <w:r w:rsidR="005846B6">
              <w:t>Registry Operator must comply with the processes and procedures for ongoing protection of the legal rights of third parties as set forth Specification 7 attached hereto (“Specification 7”).”</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2.9</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2.9(a) shall be modified to include the following at the end of the provision:</w:t>
            </w:r>
          </w:p>
          <w:p w:rsidR="007C4F88" w:rsidRDefault="005846B6" w:rsidP="008C28F2">
            <w:pPr>
              <w:widowControl w:val="0"/>
              <w:spacing w:after="240"/>
              <w:ind w:left="882"/>
              <w:rPr>
                <w:rFonts w:asciiTheme="majorHAnsi" w:hAnsiTheme="majorHAnsi" w:cstheme="majorBidi"/>
              </w:rPr>
            </w:pPr>
            <w:r>
              <w:rPr>
                <w:rFonts w:asciiTheme="majorHAnsi" w:hAnsiTheme="majorHAnsi" w:cstheme="majorBidi"/>
              </w:rPr>
              <w:t xml:space="preserve">“The Registry-Registrar Agreement referred to in this </w:t>
            </w:r>
            <w:r>
              <w:rPr>
                <w:rFonts w:asciiTheme="majorHAnsi" w:hAnsiTheme="majorHAnsi" w:cstheme="majorBidi"/>
              </w:rPr>
              <w:lastRenderedPageBreak/>
              <w:t>Section 2.9(a) is the last Registry-Registrar Agreement for the TLD approved by ICANN pursuant to the registry agreement for the TLD that immediately preceded this Agreement.”</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lastRenderedPageBreak/>
              <w:t>2.12</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2.12 shall be of no force or effect.</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2.13</w:t>
            </w:r>
          </w:p>
        </w:tc>
        <w:tc>
          <w:tcPr>
            <w:tcW w:w="7352" w:type="dxa"/>
          </w:tcPr>
          <w:p w:rsidR="007C4F88" w:rsidRDefault="005846B6">
            <w:pPr>
              <w:spacing w:after="240"/>
              <w:ind w:left="162"/>
              <w:rPr>
                <w:rFonts w:asciiTheme="majorHAnsi" w:hAnsiTheme="majorHAnsi" w:cstheme="majorBidi"/>
              </w:rPr>
            </w:pPr>
            <w:r>
              <w:rPr>
                <w:rFonts w:asciiTheme="majorHAnsi" w:hAnsiTheme="majorHAnsi" w:cstheme="majorBidi"/>
              </w:rPr>
              <w:t xml:space="preserve">The following terms of Section 2.13 shall be of no force or effect: </w:t>
            </w:r>
          </w:p>
          <w:p w:rsidR="007C4F88" w:rsidRDefault="005846B6">
            <w:pPr>
              <w:pStyle w:val="BodyText"/>
              <w:ind w:left="882"/>
            </w:pPr>
            <w:r>
              <w:t>“In addition, in the event of such failure, ICANN shall retain and may enforce its rights under the Continued Operations Instrument.”</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2.15</w:t>
            </w:r>
          </w:p>
        </w:tc>
        <w:tc>
          <w:tcPr>
            <w:tcW w:w="7352" w:type="dxa"/>
          </w:tcPr>
          <w:p w:rsidR="007C4F88" w:rsidRDefault="005846B6">
            <w:pPr>
              <w:spacing w:after="240"/>
              <w:ind w:left="162"/>
              <w:rPr>
                <w:rFonts w:asciiTheme="majorHAnsi" w:hAnsiTheme="majorHAnsi" w:cstheme="majorBidi"/>
              </w:rPr>
            </w:pPr>
            <w:r>
              <w:rPr>
                <w:rFonts w:asciiTheme="majorHAnsi" w:hAnsiTheme="majorHAnsi" w:cstheme="majorBidi"/>
              </w:rPr>
              <w:t xml:space="preserve">The following term of the first sentence of Section 2.15 shall be of no force or effect: </w:t>
            </w:r>
          </w:p>
          <w:p w:rsidR="007C4F88" w:rsidRDefault="005846B6">
            <w:pPr>
              <w:pStyle w:val="BodyText"/>
              <w:ind w:left="882"/>
            </w:pPr>
            <w:r>
              <w:t>“new”</w:t>
            </w:r>
          </w:p>
        </w:tc>
      </w:tr>
      <w:tr w:rsidR="007C4F88">
        <w:tc>
          <w:tcPr>
            <w:tcW w:w="1638" w:type="dxa"/>
            <w:shd w:val="clear" w:color="auto" w:fill="auto"/>
          </w:tcPr>
          <w:p w:rsidR="007C4F88" w:rsidRDefault="005846B6">
            <w:pPr>
              <w:widowControl w:val="0"/>
              <w:spacing w:after="240"/>
              <w:rPr>
                <w:rFonts w:asciiTheme="majorHAnsi" w:hAnsiTheme="majorHAnsi" w:cstheme="majorBidi"/>
                <w:b/>
                <w:bCs/>
              </w:rPr>
            </w:pPr>
            <w:r>
              <w:rPr>
                <w:rFonts w:asciiTheme="majorHAnsi" w:hAnsiTheme="majorHAnsi" w:cstheme="majorBidi"/>
                <w:b/>
                <w:bCs/>
              </w:rPr>
              <w:t>2.19</w:t>
            </w:r>
          </w:p>
        </w:tc>
        <w:tc>
          <w:tcPr>
            <w:tcW w:w="7352" w:type="dxa"/>
            <w:shd w:val="clear" w:color="auto" w:fill="auto"/>
          </w:tcPr>
          <w:p w:rsidR="007C4F88" w:rsidRDefault="005846B6">
            <w:pPr>
              <w:spacing w:after="240"/>
              <w:ind w:left="162"/>
              <w:rPr>
                <w:rFonts w:asciiTheme="majorHAnsi" w:hAnsiTheme="majorHAnsi" w:cstheme="majorBidi"/>
              </w:rPr>
            </w:pPr>
            <w:r>
              <w:rPr>
                <w:rFonts w:asciiTheme="majorHAnsi" w:hAnsiTheme="majorHAnsi" w:cstheme="majorBidi"/>
              </w:rPr>
              <w:t>A new Section 2.19 shall be added as follows:</w:t>
            </w:r>
          </w:p>
          <w:p w:rsidR="007C4F88" w:rsidRDefault="005846B6">
            <w:pPr>
              <w:spacing w:after="240"/>
              <w:ind w:left="162"/>
              <w:rPr>
                <w:rFonts w:asciiTheme="majorHAnsi" w:hAnsiTheme="majorHAnsi" w:cstheme="majorBidi"/>
              </w:rPr>
            </w:pPr>
            <w:r>
              <w:rPr>
                <w:rFonts w:asciiTheme="majorHAnsi" w:hAnsiTheme="majorHAnsi" w:cstheme="majorBidi"/>
              </w:rPr>
              <w:t>“</w:t>
            </w:r>
            <w:r>
              <w:rPr>
                <w:rFonts w:asciiTheme="majorHAnsi" w:hAnsiTheme="majorHAnsi" w:cstheme="majorBidi"/>
                <w:b/>
                <w:bCs/>
              </w:rPr>
              <w:t>2.19 Traffic Data</w:t>
            </w:r>
            <w:r>
              <w:rPr>
                <w:rFonts w:asciiTheme="majorHAnsi" w:hAnsiTheme="majorHAnsi" w:cstheme="majorBidi"/>
              </w:rPr>
              <w:t>.  Nothing in this Agreement shall preclude Registry Operator from making commercial use of, or collecting, traffic data regarding domain names or non-existent domain names for purposes such as, without limitation, the determination of the availability and Security and Stability of the Internet, pinpointing specific points of failure, characterizing attacks and  misconfigurations, identifying compromised networks and hosts and promoting the sale of domain names, provided however, that such use does not permit Registry Operator to disclose domain name registrant or end-user information or other Personal Data as defined in Section 2.18 that it collects through providing Registry Services for any purpose not otherwise authorized by this agreement. The process for the introduction of new Registry Services shall not apply to such traffic data. Nothing contained in this Section 2.19 shall be deemed to constitute consent or acquiescence by ICANN to an introduction by Registry Operator of a service employing a universal wildcard function, except that this sentence shall not prohibit the provision of nameservice or any other non-registry service for a domain or zone used for other than registration services to unaffiliated third parties by a single entity (including its affiliates) for domain names registered through an ICANN-accredited registrar. To the extent that traffic data subject to this provision is made available, access shall be on terms that are nondiscriminatory.”</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lastRenderedPageBreak/>
              <w:t>4.3(b)</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4.3(b) shall be of no force or effect.</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4.3(c)</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4.3(c) shall be of no force or effect.</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4.5</w:t>
            </w:r>
          </w:p>
        </w:tc>
        <w:tc>
          <w:tcPr>
            <w:tcW w:w="7352" w:type="dxa"/>
          </w:tcPr>
          <w:p w:rsidR="007C4F88" w:rsidRDefault="005846B6">
            <w:pPr>
              <w:spacing w:after="240"/>
              <w:ind w:left="162"/>
              <w:rPr>
                <w:rFonts w:asciiTheme="majorHAnsi" w:hAnsiTheme="majorHAnsi" w:cstheme="majorBidi"/>
              </w:rPr>
            </w:pPr>
            <w:r>
              <w:rPr>
                <w:rFonts w:asciiTheme="majorHAnsi" w:hAnsiTheme="majorHAnsi" w:cstheme="majorBidi"/>
              </w:rPr>
              <w:t xml:space="preserve">The following terms of Section 4.5 shall be of no force or effect: </w:t>
            </w:r>
          </w:p>
          <w:p w:rsidR="007C4F88" w:rsidRDefault="005846B6">
            <w:pPr>
              <w:pStyle w:val="BodyText"/>
              <w:ind w:left="882"/>
            </w:pPr>
            <w:r>
              <w:t>“In addition, ICANN or its designee shall retain and may enforce its rights under the Continued Operations Instrument for the maintenance and operation of the TLD, regardless of the reason for termination or expiration of this Agreement.”</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4.6</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reference to “Section 2.12” in Section 4.6 shall be of no force or effect.</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6.1(a)</w:t>
            </w:r>
          </w:p>
        </w:tc>
        <w:tc>
          <w:tcPr>
            <w:tcW w:w="7352" w:type="dxa"/>
          </w:tcPr>
          <w:p w:rsidR="007C4F88" w:rsidRDefault="005846B6">
            <w:pPr>
              <w:spacing w:after="240"/>
              <w:ind w:left="162"/>
              <w:rPr>
                <w:rFonts w:asciiTheme="majorHAnsi" w:hAnsiTheme="majorHAnsi" w:cstheme="majorBidi"/>
              </w:rPr>
            </w:pPr>
            <w:r>
              <w:rPr>
                <w:rFonts w:asciiTheme="majorHAnsi" w:hAnsiTheme="majorHAnsi" w:cstheme="majorBidi"/>
              </w:rPr>
              <w:t>The terms of Section 6.1(a) are hereby amended and restated in their entirety as follows:</w:t>
            </w:r>
          </w:p>
          <w:p w:rsidR="007C4F88" w:rsidRDefault="005846B6">
            <w:pPr>
              <w:widowControl w:val="0"/>
              <w:spacing w:after="240"/>
              <w:ind w:left="720"/>
              <w:rPr>
                <w:rFonts w:asciiTheme="majorHAnsi" w:hAnsiTheme="majorHAnsi" w:cstheme="majorBidi"/>
              </w:rPr>
            </w:pPr>
            <w:r>
              <w:rPr>
                <w:rFonts w:asciiTheme="majorHAnsi" w:hAnsiTheme="majorHAnsi"/>
              </w:rPr>
              <w:t>“(a)</w:t>
            </w:r>
            <w:r>
              <w:rPr>
                <w:rFonts w:asciiTheme="majorHAnsi" w:hAnsiTheme="majorHAnsi"/>
              </w:rPr>
              <w:tab/>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Effective Date.”</w:t>
            </w:r>
          </w:p>
        </w:tc>
      </w:tr>
      <w:tr w:rsidR="007C4F88">
        <w:tc>
          <w:tcPr>
            <w:tcW w:w="1638" w:type="dxa"/>
          </w:tcPr>
          <w:p w:rsidR="007C4F88" w:rsidRDefault="005846B6">
            <w:pPr>
              <w:widowControl w:val="0"/>
              <w:spacing w:after="240"/>
              <w:rPr>
                <w:rFonts w:asciiTheme="majorHAnsi" w:hAnsiTheme="majorHAnsi" w:cstheme="majorBidi"/>
              </w:rPr>
            </w:pPr>
            <w:r>
              <w:rPr>
                <w:rFonts w:asciiTheme="majorHAnsi" w:hAnsiTheme="majorHAnsi" w:cstheme="majorBidi"/>
                <w:b/>
                <w:bCs/>
              </w:rPr>
              <w:t>6.4</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6.4 shall be of no force or effect.</w:t>
            </w:r>
          </w:p>
        </w:tc>
      </w:tr>
      <w:tr w:rsidR="007C4F88">
        <w:tc>
          <w:tcPr>
            <w:tcW w:w="1638" w:type="dxa"/>
          </w:tcPr>
          <w:p w:rsidR="007C4F88" w:rsidRDefault="005846B6" w:rsidP="0050445A">
            <w:pPr>
              <w:widowControl w:val="0"/>
              <w:spacing w:after="240"/>
              <w:rPr>
                <w:rFonts w:asciiTheme="majorHAnsi" w:hAnsiTheme="majorHAnsi" w:cstheme="majorBidi"/>
                <w:b/>
                <w:bCs/>
              </w:rPr>
            </w:pPr>
            <w:r>
              <w:rPr>
                <w:rFonts w:asciiTheme="majorHAnsi" w:hAnsiTheme="majorHAnsi" w:cstheme="majorBidi"/>
                <w:b/>
                <w:bCs/>
              </w:rPr>
              <w:t xml:space="preserve">Specification 1, </w:t>
            </w:r>
            <w:r w:rsidR="0050445A">
              <w:rPr>
                <w:rFonts w:asciiTheme="majorHAnsi" w:hAnsiTheme="majorHAnsi"/>
                <w:b/>
                <w:bCs/>
              </w:rPr>
              <w:t>§</w:t>
            </w:r>
            <w:r>
              <w:rPr>
                <w:rFonts w:asciiTheme="majorHAnsi" w:hAnsiTheme="majorHAnsi" w:cstheme="majorBidi"/>
                <w:b/>
                <w:bCs/>
              </w:rPr>
              <w:t xml:space="preserve"> 2</w:t>
            </w:r>
          </w:p>
        </w:tc>
        <w:tc>
          <w:tcPr>
            <w:tcW w:w="7352" w:type="dxa"/>
          </w:tcPr>
          <w:p w:rsidR="007C4F88" w:rsidRDefault="005846B6">
            <w:pPr>
              <w:pStyle w:val="TableParagraph"/>
              <w:kinsoku w:val="0"/>
              <w:overflowPunct w:val="0"/>
            </w:pPr>
            <w:r>
              <w:t>The terms of the first sentence of Specification 1, Section 2 are hereby amended and restated in their entirety as follows:</w:t>
            </w:r>
          </w:p>
          <w:p w:rsidR="007C4F88" w:rsidRDefault="007C4F88">
            <w:pPr>
              <w:pStyle w:val="TableParagraph"/>
              <w:kinsoku w:val="0"/>
              <w:overflowPunct w:val="0"/>
            </w:pPr>
          </w:p>
          <w:p w:rsidR="007C4F88" w:rsidRDefault="005846B6">
            <w:pPr>
              <w:pStyle w:val="TableParagraph"/>
              <w:kinsoku w:val="0"/>
              <w:overflowPunct w:val="0"/>
              <w:ind w:left="720"/>
              <w:rPr>
                <w:color w:val="000000"/>
              </w:rPr>
            </w:pPr>
            <w:r>
              <w:t>“</w:t>
            </w:r>
            <w:r>
              <w:rPr>
                <w:b/>
                <w:bCs/>
                <w:color w:val="000000"/>
                <w:u w:val="single"/>
              </w:rPr>
              <w:t>Temporary Policies</w:t>
            </w:r>
            <w:r>
              <w:rPr>
                <w:color w:val="000000"/>
              </w:rPr>
              <w:t xml:space="preserve">.  Registry Operator shall comply with and implement all specifications or policies established by the </w:t>
            </w:r>
            <w:r>
              <w:rPr>
                <w:color w:val="000000"/>
              </w:rPr>
              <w:lastRenderedPageBreak/>
              <w:t>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(“Temporary Policies”).”</w:t>
            </w:r>
          </w:p>
          <w:p w:rsidR="007C4F88" w:rsidRDefault="007C4F88">
            <w:pPr>
              <w:pStyle w:val="TableParagraph"/>
              <w:kinsoku w:val="0"/>
              <w:overflowPunct w:val="0"/>
            </w:pPr>
          </w:p>
        </w:tc>
      </w:tr>
      <w:tr w:rsidR="007C4F88">
        <w:tc>
          <w:tcPr>
            <w:tcW w:w="1638" w:type="dxa"/>
            <w:shd w:val="clear" w:color="auto" w:fill="auto"/>
          </w:tcPr>
          <w:p w:rsidR="007C4F88" w:rsidRDefault="005846B6">
            <w:pPr>
              <w:widowControl w:val="0"/>
              <w:spacing w:after="240"/>
              <w:rPr>
                <w:rFonts w:asciiTheme="majorHAnsi" w:hAnsiTheme="majorHAnsi" w:cstheme="majorBidi"/>
              </w:rPr>
            </w:pPr>
            <w:r>
              <w:rPr>
                <w:rFonts w:asciiTheme="majorHAnsi" w:hAnsiTheme="majorHAnsi"/>
                <w:b/>
                <w:bCs/>
              </w:rPr>
              <w:lastRenderedPageBreak/>
              <w:t>Specification 5, § 2</w:t>
            </w:r>
          </w:p>
        </w:tc>
        <w:tc>
          <w:tcPr>
            <w:tcW w:w="7352" w:type="dxa"/>
            <w:shd w:val="clear" w:color="auto" w:fill="auto"/>
          </w:tcPr>
          <w:p w:rsidR="007C4F88" w:rsidRDefault="005846B6">
            <w:pPr>
              <w:pStyle w:val="BodyText"/>
              <w:ind w:left="0"/>
              <w:rPr>
                <w:rFonts w:cstheme="majorBidi"/>
              </w:rPr>
            </w:pPr>
            <w:r>
              <w:rPr>
                <w:rFonts w:cstheme="majorBidi"/>
              </w:rPr>
              <w:t>The terms of Section 2 of Specification 5 are hereby amended and restated in their entirety as follows:</w:t>
            </w:r>
          </w:p>
          <w:p w:rsidR="007C4F88" w:rsidRDefault="005846B6">
            <w:pPr>
              <w:pStyle w:val="BodyText"/>
              <w:ind w:left="720"/>
              <w:rPr>
                <w:rFonts w:cstheme="majorBidi"/>
              </w:rPr>
            </w:pPr>
            <w:r>
              <w:rPr>
                <w:rFonts w:cstheme="majorBidi"/>
                <w:b/>
                <w:bCs/>
              </w:rPr>
              <w:t>“Two Character Labels</w:t>
            </w:r>
            <w:r>
              <w:rPr>
                <w:rFonts w:cstheme="majorBidi"/>
              </w:rPr>
              <w:t>. All two character labels that were previously reserved by Registry Operator pursuant to prior registry agreements between Registry Operator and ICANN may be allocated through ICANN-accredited registrars, subject to the following:</w:t>
            </w:r>
          </w:p>
          <w:p w:rsidR="007C4F88" w:rsidRDefault="005846B6">
            <w:pPr>
              <w:pStyle w:val="BodyText"/>
              <w:rPr>
                <w:rFonts w:cstheme="majorBidi"/>
              </w:rPr>
            </w:pPr>
            <w:r>
              <w:rPr>
                <w:rFonts w:cstheme="majorBidi"/>
              </w:rPr>
              <w:t xml:space="preserve">2.1 </w:t>
            </w:r>
            <w:r>
              <w:rPr>
                <w:rFonts w:cstheme="majorBidi"/>
                <w:u w:val="single"/>
              </w:rPr>
              <w:t>Registration Policy</w:t>
            </w:r>
            <w:r>
              <w:rPr>
                <w:rFonts w:cstheme="majorBidi"/>
              </w:rPr>
              <w:t xml:space="preserve">: For all new registrations after the Effective Date, Registry Operator must include a provision in its publicly available registration policy requiring a representation that the registrant of a letter/letter two-character ASCII label will take steps to ensure against misrepresenting or falsely implying that the registrant or its business is affiliated with a government or country-code manager if such affiliation, sponsorship or endorsement does not exist. </w:t>
            </w:r>
          </w:p>
          <w:p w:rsidR="007C4F88" w:rsidRDefault="005846B6">
            <w:pPr>
              <w:pStyle w:val="BodyText"/>
            </w:pPr>
            <w:r>
              <w:rPr>
                <w:rFonts w:cstheme="majorBidi"/>
              </w:rPr>
              <w:t xml:space="preserve">2.2 </w:t>
            </w:r>
            <w:r>
              <w:rPr>
                <w:rFonts w:cstheme="majorBidi"/>
                <w:u w:val="single"/>
              </w:rPr>
              <w:t>Post-Registration Complaint Investigation</w:t>
            </w:r>
            <w:r>
              <w:rPr>
                <w:rFonts w:cstheme="majorBidi"/>
              </w:rPr>
              <w:t>. Registry Operator shall take reasonable steps to investigate and respond to any reports from governmental agencies and ccTLD operators of conduct that causes confusion with the corresponding country code in connection with the use of a letter/letter two-character ACSCII domain. In responding to such reports, Registry Operator will not be required to take any action in contravention of applicable law.”</w:t>
            </w:r>
          </w:p>
        </w:tc>
      </w:tr>
      <w:tr w:rsidR="007C4F88">
        <w:tc>
          <w:tcPr>
            <w:tcW w:w="1638" w:type="dxa"/>
          </w:tcPr>
          <w:p w:rsidR="007C4F88" w:rsidRDefault="005846B6">
            <w:pPr>
              <w:widowControl w:val="0"/>
              <w:spacing w:after="240"/>
              <w:rPr>
                <w:rFonts w:asciiTheme="majorHAnsi" w:hAnsiTheme="majorHAnsi"/>
                <w:b/>
                <w:bCs/>
              </w:rPr>
            </w:pPr>
            <w:r>
              <w:rPr>
                <w:rFonts w:asciiTheme="majorHAnsi" w:hAnsiTheme="majorHAnsi" w:cstheme="majorBidi"/>
                <w:b/>
                <w:bCs/>
              </w:rPr>
              <w:t>Specification 5, § 3.1.1</w:t>
            </w:r>
          </w:p>
        </w:tc>
        <w:tc>
          <w:tcPr>
            <w:tcW w:w="7352" w:type="dxa"/>
          </w:tcPr>
          <w:p w:rsidR="007C4F88" w:rsidRDefault="005846B6">
            <w:pPr>
              <w:spacing w:after="240"/>
              <w:ind w:left="162"/>
              <w:rPr>
                <w:rFonts w:asciiTheme="majorHAnsi" w:hAnsiTheme="majorHAnsi"/>
              </w:rPr>
            </w:pPr>
            <w:r>
              <w:rPr>
                <w:rFonts w:asciiTheme="majorHAnsi" w:hAnsiTheme="majorHAnsi"/>
              </w:rPr>
              <w:t xml:space="preserve">The terms of Section 3.1.1 of Specification 5 are hereby amended and restated in their entirety as follows: </w:t>
            </w:r>
          </w:p>
          <w:p w:rsidR="007C4F88" w:rsidRDefault="005846B6">
            <w:pPr>
              <w:pStyle w:val="BodyText"/>
              <w:ind w:left="720"/>
            </w:pPr>
            <w:r>
              <w:t xml:space="preserve">“If Exhibit A to the Agreement specifically provides that Registry Operator may offer registration of IDNs, Registry Operator may also activate a language-specific translation or transliteration of the term "NIC" or an abbreviation for the </w:t>
            </w:r>
            <w:r>
              <w:lastRenderedPageBreak/>
              <w:t>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5.”</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lastRenderedPageBreak/>
              <w:t>Specification 5, § 3.2</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3.2 of Specification 5 shall be of no force or effect.</w:t>
            </w:r>
          </w:p>
        </w:tc>
      </w:tr>
      <w:tr w:rsidR="007C4F88">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Specification 5, § 3.4</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 xml:space="preserve">The terms of Section 3.4 of Specification 5 are hereby amended and restated in their entirety as follows: </w:t>
            </w:r>
          </w:p>
          <w:p w:rsidR="007C4F88" w:rsidRDefault="005846B6">
            <w:pPr>
              <w:pStyle w:val="BodyText"/>
              <w:ind w:left="720"/>
            </w:pPr>
            <w:r>
              <w:t xml:space="preserve">“Registry Operator shall allocate the domain name “icann-sla-monitoring.&lt;tld&gt;” to the ICANN testing registrar (as such registrar is described in Section 8.2 of Specification 10).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 will not be considered a Transaction for purposes of Section 6.1 of the Agreement.” </w:t>
            </w:r>
          </w:p>
        </w:tc>
      </w:tr>
      <w:tr w:rsidR="007C4F88">
        <w:tc>
          <w:tcPr>
            <w:tcW w:w="1638" w:type="dxa"/>
            <w:shd w:val="clear" w:color="auto" w:fill="auto"/>
          </w:tcPr>
          <w:p w:rsidR="007C4F88" w:rsidRDefault="005846B6">
            <w:pPr>
              <w:widowControl w:val="0"/>
              <w:spacing w:after="240"/>
              <w:rPr>
                <w:rFonts w:asciiTheme="majorHAnsi" w:hAnsiTheme="majorHAnsi" w:cstheme="majorBidi"/>
                <w:b/>
                <w:bCs/>
              </w:rPr>
            </w:pPr>
            <w:r>
              <w:rPr>
                <w:rFonts w:asciiTheme="majorHAnsi" w:hAnsiTheme="majorHAnsi" w:cstheme="majorBidi"/>
                <w:b/>
                <w:bCs/>
              </w:rPr>
              <w:t>Specification 5, § 5</w:t>
            </w:r>
          </w:p>
        </w:tc>
        <w:tc>
          <w:tcPr>
            <w:tcW w:w="7352" w:type="dxa"/>
            <w:shd w:val="clear" w:color="auto" w:fill="auto"/>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5 of Specification 5 shall be of no force or effect.</w:t>
            </w:r>
          </w:p>
        </w:tc>
      </w:tr>
      <w:tr w:rsidR="007C4F88">
        <w:tc>
          <w:tcPr>
            <w:tcW w:w="1638" w:type="dxa"/>
            <w:shd w:val="clear" w:color="auto" w:fill="auto"/>
          </w:tcPr>
          <w:p w:rsidR="007C4F88" w:rsidRDefault="005846B6">
            <w:pPr>
              <w:widowControl w:val="0"/>
              <w:spacing w:after="240"/>
              <w:rPr>
                <w:rFonts w:asciiTheme="majorHAnsi" w:hAnsiTheme="majorHAnsi" w:cstheme="majorBidi"/>
                <w:b/>
                <w:bCs/>
              </w:rPr>
            </w:pPr>
            <w:r>
              <w:rPr>
                <w:rFonts w:asciiTheme="majorHAnsi" w:hAnsiTheme="majorHAnsi" w:cstheme="majorBidi"/>
                <w:b/>
                <w:bCs/>
              </w:rPr>
              <w:t>Specification 5, § 6</w:t>
            </w:r>
          </w:p>
        </w:tc>
        <w:tc>
          <w:tcPr>
            <w:tcW w:w="7352" w:type="dxa"/>
            <w:shd w:val="clear" w:color="auto" w:fill="auto"/>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6 of Specification 5 shall be of no force or effect.</w:t>
            </w:r>
          </w:p>
        </w:tc>
      </w:tr>
      <w:tr w:rsidR="007C4F88">
        <w:trPr>
          <w:trHeight w:val="548"/>
        </w:trPr>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Specification 6, § 6</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Section 6 of Specification 6 shall be of no force or effect.</w:t>
            </w:r>
          </w:p>
        </w:tc>
      </w:tr>
      <w:tr w:rsidR="007C4F88">
        <w:trPr>
          <w:trHeight w:val="548"/>
        </w:trPr>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Specification 7, § 1</w:t>
            </w:r>
          </w:p>
        </w:tc>
        <w:tc>
          <w:tcPr>
            <w:tcW w:w="7352" w:type="dxa"/>
          </w:tcPr>
          <w:p w:rsidR="007C4F88" w:rsidRDefault="005846B6">
            <w:pPr>
              <w:spacing w:after="240"/>
              <w:ind w:left="162"/>
              <w:rPr>
                <w:rFonts w:asciiTheme="majorHAnsi" w:hAnsiTheme="majorHAnsi" w:cstheme="majorBidi"/>
              </w:rPr>
            </w:pPr>
            <w:r>
              <w:rPr>
                <w:rFonts w:asciiTheme="majorHAnsi" w:hAnsiTheme="majorHAnsi" w:cstheme="majorBidi"/>
              </w:rPr>
              <w:t>The terms of Section 1 of Specification 7 are hereby amended and restated in their entirety as follows:</w:t>
            </w:r>
          </w:p>
          <w:p w:rsidR="007C4F88" w:rsidRDefault="005846B6">
            <w:pPr>
              <w:widowControl w:val="0"/>
              <w:spacing w:after="240"/>
              <w:ind w:left="882"/>
              <w:rPr>
                <w:rFonts w:asciiTheme="majorHAnsi" w:hAnsiTheme="majorHAnsi" w:cstheme="majorBidi"/>
              </w:rPr>
            </w:pPr>
            <w:r>
              <w:rPr>
                <w:rFonts w:asciiTheme="majorHAnsi" w:hAnsiTheme="majorHAnsi"/>
              </w:rPr>
              <w:t>“</w:t>
            </w:r>
            <w:r>
              <w:rPr>
                <w:rFonts w:asciiTheme="majorHAnsi" w:eastAsia="SimSun" w:hAnsiTheme="majorHAnsi"/>
                <w:b/>
              </w:rPr>
              <w:t>Rights Protection Mechanisms</w:t>
            </w:r>
            <w:r>
              <w:rPr>
                <w:rFonts w:asciiTheme="majorHAnsi" w:eastAsia="SimSun" w:hAnsiTheme="majorHAnsi"/>
              </w:rPr>
              <w:t xml:space="preserve">.  Registry Operator shall implement and adhere to the rights protection mechanisms (“RPMs”) specified in this Specification.  In addition to such RPMs, Registry Operator may develop and implement RPMs </w:t>
            </w:r>
            <w:r>
              <w:rPr>
                <w:rFonts w:asciiTheme="majorHAnsi" w:eastAsia="SimSun" w:hAnsiTheme="majorHAnsi"/>
              </w:rPr>
              <w:lastRenderedPageBreak/>
              <w:t>that discourage or prevent registration of domain names that violate or abuse another party’s legal rights.  Registry Operator will include</w:t>
            </w:r>
            <w:r>
              <w:rPr>
                <w:rFonts w:asciiTheme="majorHAnsi" w:eastAsia="SimSun" w:hAnsiTheme="majorHAnsi"/>
                <w:lang w:eastAsia="zh-CN"/>
              </w:rPr>
              <w:t xml:space="preserve"> all RPMs required by this Specification 7 and any additional </w:t>
            </w:r>
            <w:r>
              <w:rPr>
                <w:rFonts w:asciiTheme="majorHAnsi" w:eastAsia="SimSun" w:hAnsiTheme="majorHAnsi"/>
              </w:rPr>
              <w:t>RPMs developed and implemented by Registry Operator in the Registry-Registrar Agreement entered into by ICANN-accredited registrars authorized to register names in the TLD.”</w:t>
            </w:r>
          </w:p>
        </w:tc>
      </w:tr>
      <w:tr w:rsidR="007C4F88">
        <w:trPr>
          <w:trHeight w:val="548"/>
        </w:trPr>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lastRenderedPageBreak/>
              <w:t>Specification 8</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The terms of Specification 8 shall be of no force or effect.</w:t>
            </w:r>
          </w:p>
        </w:tc>
      </w:tr>
      <w:tr w:rsidR="007C4F88">
        <w:trPr>
          <w:trHeight w:val="548"/>
        </w:trPr>
        <w:tc>
          <w:tcPr>
            <w:tcW w:w="1638" w:type="dxa"/>
          </w:tcPr>
          <w:p w:rsidR="007C4F88" w:rsidRDefault="005846B6">
            <w:pPr>
              <w:widowControl w:val="0"/>
              <w:spacing w:after="240"/>
              <w:rPr>
                <w:rFonts w:asciiTheme="majorHAnsi" w:hAnsiTheme="majorHAnsi" w:cstheme="majorBidi"/>
                <w:b/>
                <w:bCs/>
              </w:rPr>
            </w:pPr>
            <w:r>
              <w:rPr>
                <w:rFonts w:asciiTheme="majorHAnsi" w:hAnsiTheme="majorHAnsi" w:cstheme="majorBidi"/>
                <w:b/>
                <w:bCs/>
              </w:rPr>
              <w:t>Specification 9, § 1(b)</w:t>
            </w:r>
          </w:p>
        </w:tc>
        <w:tc>
          <w:tcPr>
            <w:tcW w:w="7352" w:type="dxa"/>
          </w:tcPr>
          <w:p w:rsidR="007C4F88" w:rsidRDefault="005846B6">
            <w:pPr>
              <w:widowControl w:val="0"/>
              <w:spacing w:after="240"/>
              <w:ind w:left="162"/>
              <w:rPr>
                <w:rFonts w:asciiTheme="majorHAnsi" w:hAnsiTheme="majorHAnsi" w:cstheme="majorBidi"/>
              </w:rPr>
            </w:pPr>
            <w:r>
              <w:rPr>
                <w:rFonts w:asciiTheme="majorHAnsi" w:hAnsiTheme="majorHAnsi" w:cstheme="majorBidi"/>
              </w:rPr>
              <w:t xml:space="preserve">The terms of Section 1(b) of Specification 9 are hereby amended and restated in their entirety as follows: </w:t>
            </w:r>
          </w:p>
          <w:p w:rsidR="007C4F88" w:rsidRDefault="005846B6">
            <w:pPr>
              <w:pStyle w:val="BodyText"/>
              <w:ind w:left="342" w:firstLine="18"/>
            </w:pPr>
            <w:r>
              <w:t>“register domain names in its own right, except for names registered</w:t>
            </w:r>
            <w:r>
              <w:rPr>
                <w:spacing w:val="-34"/>
              </w:rPr>
              <w:t xml:space="preserve"> </w:t>
            </w:r>
            <w:r>
              <w:t xml:space="preserve">through an ICANN accredited registrar; provided, however, that Registry Operator may reserve names from registration pursuant to Section 2.6 of the Agreement;” </w:t>
            </w:r>
          </w:p>
        </w:tc>
      </w:tr>
    </w:tbl>
    <w:p w:rsidR="007C4F88" w:rsidRDefault="007C4F88">
      <w:pPr>
        <w:pStyle w:val="ListParagraph"/>
        <w:widowControl w:val="0"/>
        <w:contextualSpacing w:val="0"/>
        <w:rPr>
          <w:rFonts w:asciiTheme="majorHAnsi" w:hAnsiTheme="majorHAnsi" w:cstheme="majorBidi"/>
        </w:rPr>
      </w:pPr>
    </w:p>
    <w:p w:rsidR="007C4F88" w:rsidRDefault="005846B6">
      <w:pPr>
        <w:pStyle w:val="ListParagraph"/>
        <w:widowControl w:val="0"/>
        <w:numPr>
          <w:ilvl w:val="0"/>
          <w:numId w:val="1"/>
        </w:numPr>
        <w:spacing w:after="240"/>
        <w:contextualSpacing w:val="0"/>
        <w:rPr>
          <w:rFonts w:asciiTheme="majorHAnsi" w:hAnsiTheme="majorHAnsi" w:cstheme="majorBidi"/>
        </w:rPr>
      </w:pPr>
      <w:r>
        <w:rPr>
          <w:rFonts w:asciiTheme="majorHAnsi" w:hAnsiTheme="majorHAnsi" w:cstheme="majorBidi"/>
        </w:rPr>
        <w:t>This Addendum shall constitute an integral part of the Registry Agreement. Notwithstanding Section 7.10 of the Registry Agreement, the Registry Agreement (including those specifications and documents incorporated by reference to URL locations which form a part of it) and this Addendum constitute the entire agreement of the parties hereto pertaining to the operation of the TLD and supersedes all prior agreements, understandings, negotiations and discussions, whether oral or written, between the parties on that subject.  The Registry Agreement and this Addendum shall at all times be read together.</w:t>
      </w:r>
    </w:p>
    <w:p w:rsidR="007C4F88" w:rsidRDefault="005846B6">
      <w:pPr>
        <w:pStyle w:val="ListParagraph"/>
        <w:widowControl w:val="0"/>
        <w:numPr>
          <w:ilvl w:val="0"/>
          <w:numId w:val="1"/>
        </w:numPr>
        <w:spacing w:after="240"/>
        <w:contextualSpacing w:val="0"/>
        <w:rPr>
          <w:rFonts w:asciiTheme="majorHAnsi" w:hAnsiTheme="majorHAnsi" w:cstheme="majorBidi"/>
        </w:rPr>
      </w:pPr>
      <w:r>
        <w:rPr>
          <w:rFonts w:asciiTheme="majorHAnsi" w:hAnsiTheme="majorHAnsi" w:cstheme="majorBidi"/>
        </w:rPr>
        <w:t>Except as specifically provided for in this Addendum, all of the terms of the Registry Agreement shall remain unchanged and in full force and effect, and, to the extent applicable, such terms shall apply to this Addendum as if it formed part of the Registry Agreement.</w:t>
      </w:r>
    </w:p>
    <w:p w:rsidR="007C4F88" w:rsidRDefault="005846B6">
      <w:pPr>
        <w:pStyle w:val="ListParagraph"/>
        <w:widowControl w:val="0"/>
        <w:numPr>
          <w:ilvl w:val="0"/>
          <w:numId w:val="1"/>
        </w:numPr>
        <w:spacing w:after="240"/>
        <w:contextualSpacing w:val="0"/>
        <w:rPr>
          <w:rFonts w:asciiTheme="majorHAnsi" w:hAnsiTheme="majorHAnsi"/>
        </w:rPr>
      </w:pPr>
      <w:r>
        <w:rPr>
          <w:rFonts w:asciiTheme="majorHAnsi" w:hAnsiTheme="majorHAnsi" w:cstheme="majorBidi"/>
        </w:rPr>
        <w:t xml:space="preserve">This Addendum may be executed and delivered (including by electronic transmission) in any number of counterparts, and by the different parties hereto in separate counterparts, each of which when executed shall be deemed to be an original but all of which taken together shall constitute a single instrument.  </w:t>
      </w:r>
      <w:r>
        <w:rPr>
          <w:rFonts w:asciiTheme="majorHAnsi" w:hAnsiTheme="majorHAnsi"/>
        </w:rPr>
        <w:br w:type="page"/>
      </w:r>
    </w:p>
    <w:p w:rsidR="007C4F88" w:rsidRDefault="005846B6">
      <w:pPr>
        <w:autoSpaceDE w:val="0"/>
        <w:autoSpaceDN w:val="0"/>
        <w:adjustRightInd w:val="0"/>
        <w:spacing w:after="240"/>
        <w:ind w:firstLine="720"/>
        <w:rPr>
          <w:rFonts w:asciiTheme="majorHAnsi" w:eastAsia="SimSun" w:hAnsiTheme="majorHAnsi"/>
        </w:rPr>
      </w:pPr>
      <w:r>
        <w:rPr>
          <w:rFonts w:asciiTheme="majorHAnsi" w:eastAsia="SimSun" w:hAnsiTheme="majorHAnsi"/>
        </w:rPr>
        <w:lastRenderedPageBreak/>
        <w:t>IN WITNESS WHEREOF, the parties hereto have caused this Addendum to be executed by their duly authorized representatives.</w:t>
      </w:r>
    </w:p>
    <w:p w:rsidR="007C4F88" w:rsidRDefault="005846B6">
      <w:pPr>
        <w:autoSpaceDE w:val="0"/>
        <w:autoSpaceDN w:val="0"/>
        <w:adjustRightInd w:val="0"/>
        <w:spacing w:after="240"/>
        <w:ind w:firstLine="720"/>
        <w:rPr>
          <w:rFonts w:asciiTheme="majorHAnsi" w:eastAsia="SimSun" w:hAnsiTheme="majorHAnsi"/>
          <w:b/>
        </w:rPr>
      </w:pPr>
      <w:r>
        <w:rPr>
          <w:rFonts w:asciiTheme="majorHAnsi" w:eastAsia="SimSun" w:hAnsiTheme="majorHAnsi"/>
          <w:b/>
        </w:rPr>
        <w:t xml:space="preserve">INTERNET CORPORATION FOR ASSIGNED NAMES AND NUMBERS </w:t>
      </w:r>
    </w:p>
    <w:p w:rsidR="0059456A" w:rsidRDefault="0059456A">
      <w:pPr>
        <w:autoSpaceDE w:val="0"/>
        <w:autoSpaceDN w:val="0"/>
        <w:adjustRightInd w:val="0"/>
        <w:spacing w:after="240"/>
        <w:ind w:left="720"/>
        <w:rPr>
          <w:rFonts w:asciiTheme="majorHAnsi" w:eastAsia="SimSun" w:hAnsiTheme="majorHAnsi"/>
        </w:rPr>
      </w:pPr>
    </w:p>
    <w:p w:rsidR="007C4F88" w:rsidRDefault="005846B6">
      <w:pPr>
        <w:autoSpaceDE w:val="0"/>
        <w:autoSpaceDN w:val="0"/>
        <w:adjustRightInd w:val="0"/>
        <w:spacing w:after="240"/>
        <w:ind w:left="720"/>
        <w:rPr>
          <w:rFonts w:asciiTheme="majorHAnsi" w:eastAsia="SimSun" w:hAnsiTheme="majorHAnsi"/>
        </w:rPr>
      </w:pPr>
      <w:r>
        <w:rPr>
          <w:rFonts w:asciiTheme="majorHAnsi" w:eastAsia="SimSun" w:hAnsiTheme="majorHAnsi"/>
        </w:rPr>
        <w:t>By:</w:t>
      </w:r>
      <w:r>
        <w:rPr>
          <w:rFonts w:asciiTheme="majorHAnsi" w:eastAsia="SimSun" w:hAnsiTheme="majorHAnsi"/>
        </w:rPr>
        <w:tab/>
        <w:t>_____________________________</w:t>
      </w:r>
      <w:r>
        <w:rPr>
          <w:rFonts w:asciiTheme="majorHAnsi" w:eastAsia="SimSun" w:hAnsiTheme="majorHAnsi"/>
        </w:rPr>
        <w:br/>
      </w:r>
      <w:r>
        <w:rPr>
          <w:rFonts w:asciiTheme="majorHAnsi" w:eastAsia="SimSun" w:hAnsiTheme="majorHAnsi"/>
          <w:color w:val="000000" w:themeColor="text1"/>
        </w:rPr>
        <w:tab/>
        <w:t>Cyrus Namazi</w:t>
      </w:r>
      <w:r>
        <w:rPr>
          <w:rFonts w:asciiTheme="majorHAnsi" w:eastAsia="SimSun" w:hAnsiTheme="majorHAnsi"/>
          <w:strike/>
          <w:color w:val="000000" w:themeColor="text1"/>
        </w:rPr>
        <w:br/>
      </w:r>
      <w:r>
        <w:rPr>
          <w:rFonts w:asciiTheme="majorHAnsi" w:eastAsia="SimSun" w:hAnsiTheme="majorHAnsi"/>
          <w:color w:val="000000" w:themeColor="text1"/>
        </w:rPr>
        <w:tab/>
      </w:r>
      <w:r w:rsidR="00052D86">
        <w:rPr>
          <w:rFonts w:asciiTheme="majorHAnsi" w:eastAsia="SimSun" w:hAnsiTheme="majorHAnsi"/>
          <w:color w:val="000000" w:themeColor="text1"/>
        </w:rPr>
        <w:t xml:space="preserve">Senior </w:t>
      </w:r>
      <w:r>
        <w:rPr>
          <w:rFonts w:asciiTheme="majorHAnsi" w:eastAsia="SimSun" w:hAnsiTheme="majorHAnsi"/>
          <w:color w:val="000000" w:themeColor="text1"/>
        </w:rPr>
        <w:t>Vice President</w:t>
      </w:r>
      <w:bookmarkStart w:id="1" w:name="_DV_C40"/>
      <w:r>
        <w:rPr>
          <w:rFonts w:asciiTheme="majorHAnsi" w:eastAsia="SimSun" w:hAnsiTheme="majorHAnsi"/>
          <w:color w:val="000000" w:themeColor="text1"/>
        </w:rPr>
        <w:t>, Global Domains Division</w:t>
      </w:r>
      <w:r>
        <w:rPr>
          <w:rFonts w:asciiTheme="majorHAnsi" w:eastAsia="SimSun" w:hAnsiTheme="majorHAnsi"/>
          <w:strike/>
          <w:color w:val="000000" w:themeColor="text1"/>
        </w:rPr>
        <w:br/>
      </w:r>
      <w:r>
        <w:rPr>
          <w:rFonts w:asciiTheme="majorHAnsi" w:eastAsia="SimSun" w:hAnsiTheme="majorHAnsi"/>
          <w:color w:val="000000" w:themeColor="text1"/>
        </w:rPr>
        <w:tab/>
      </w:r>
      <w:bookmarkEnd w:id="1"/>
    </w:p>
    <w:p w:rsidR="007C4F88" w:rsidRDefault="00EE084F">
      <w:pPr>
        <w:autoSpaceDE w:val="0"/>
        <w:autoSpaceDN w:val="0"/>
        <w:adjustRightInd w:val="0"/>
        <w:spacing w:after="240"/>
        <w:ind w:firstLine="720"/>
        <w:rPr>
          <w:rFonts w:asciiTheme="majorHAnsi" w:eastAsia="SimSun" w:hAnsiTheme="majorHAnsi"/>
          <w:strike/>
        </w:rPr>
      </w:pPr>
      <w:r w:rsidRPr="00EE084F">
        <w:rPr>
          <w:rFonts w:asciiTheme="majorHAnsi" w:eastAsia="SimSun" w:hAnsiTheme="majorHAnsi"/>
          <w:b/>
          <w:caps/>
        </w:rPr>
        <w:t>Registry Services, LLC</w:t>
      </w:r>
    </w:p>
    <w:p w:rsidR="007C4F88" w:rsidRDefault="005846B6">
      <w:pPr>
        <w:autoSpaceDE w:val="0"/>
        <w:autoSpaceDN w:val="0"/>
        <w:adjustRightInd w:val="0"/>
        <w:ind w:left="720"/>
        <w:rPr>
          <w:rFonts w:asciiTheme="majorHAnsi" w:eastAsia="SimSun" w:hAnsiTheme="majorHAnsi"/>
          <w:b/>
        </w:rPr>
      </w:pPr>
      <w:bookmarkStart w:id="2" w:name="_DV_C43"/>
      <w:r>
        <w:rPr>
          <w:rFonts w:asciiTheme="majorHAnsi" w:eastAsia="SimSun" w:hAnsiTheme="majorHAnsi"/>
          <w:b/>
          <w:u w:val="double"/>
        </w:rPr>
        <w:t xml:space="preserve"> </w:t>
      </w:r>
      <w:bookmarkEnd w:id="2"/>
    </w:p>
    <w:p w:rsidR="007C4F88" w:rsidRDefault="007C4F88">
      <w:pPr>
        <w:autoSpaceDE w:val="0"/>
        <w:autoSpaceDN w:val="0"/>
        <w:adjustRightInd w:val="0"/>
        <w:ind w:left="720"/>
        <w:rPr>
          <w:rFonts w:asciiTheme="majorHAnsi" w:eastAsia="SimSun" w:hAnsiTheme="majorHAnsi"/>
          <w:b/>
        </w:rPr>
      </w:pPr>
    </w:p>
    <w:p w:rsidR="007C4F88" w:rsidRDefault="005846B6">
      <w:pPr>
        <w:autoSpaceDE w:val="0"/>
        <w:autoSpaceDN w:val="0"/>
        <w:adjustRightInd w:val="0"/>
        <w:ind w:left="720"/>
        <w:rPr>
          <w:rFonts w:asciiTheme="majorHAnsi" w:eastAsia="SimSun" w:hAnsiTheme="majorHAnsi"/>
        </w:rPr>
      </w:pPr>
      <w:r>
        <w:rPr>
          <w:rFonts w:asciiTheme="majorHAnsi" w:eastAsia="SimSun" w:hAnsiTheme="majorHAnsi"/>
        </w:rPr>
        <w:t>By:</w:t>
      </w:r>
      <w:r>
        <w:rPr>
          <w:rFonts w:asciiTheme="majorHAnsi" w:eastAsia="SimSun" w:hAnsiTheme="majorHAnsi"/>
        </w:rPr>
        <w:tab/>
        <w:t>_____________________________</w:t>
      </w:r>
      <w:r>
        <w:rPr>
          <w:rFonts w:asciiTheme="majorHAnsi" w:eastAsia="SimSun" w:hAnsiTheme="majorHAnsi"/>
        </w:rPr>
        <w:br/>
      </w:r>
      <w:r>
        <w:rPr>
          <w:rFonts w:asciiTheme="majorHAnsi" w:eastAsia="SimSun" w:hAnsiTheme="majorHAnsi"/>
        </w:rPr>
        <w:tab/>
      </w:r>
      <w:bookmarkStart w:id="3" w:name="_DV_C44"/>
      <w:r w:rsidR="00664CD0" w:rsidRPr="0059456A">
        <w:rPr>
          <w:rFonts w:asciiTheme="majorHAnsi" w:eastAsia="SimSun" w:hAnsiTheme="majorHAnsi"/>
        </w:rPr>
        <w:t>Heather Hoffert</w:t>
      </w:r>
      <w:r w:rsidRPr="0059456A">
        <w:rPr>
          <w:rFonts w:asciiTheme="majorHAnsi" w:eastAsia="SimSun" w:hAnsiTheme="majorHAnsi"/>
          <w:strike/>
        </w:rPr>
        <w:br/>
      </w:r>
      <w:r w:rsidRPr="0059456A">
        <w:rPr>
          <w:rFonts w:asciiTheme="majorHAnsi" w:eastAsia="SimSun" w:hAnsiTheme="majorHAnsi"/>
        </w:rPr>
        <w:tab/>
      </w:r>
      <w:r w:rsidR="00664CD0" w:rsidRPr="0059456A">
        <w:rPr>
          <w:rFonts w:asciiTheme="majorHAnsi" w:eastAsia="SimSun" w:hAnsiTheme="majorHAnsi"/>
        </w:rPr>
        <w:t>Vice President Finance</w:t>
      </w:r>
      <w:r>
        <w:rPr>
          <w:rFonts w:asciiTheme="majorHAnsi" w:eastAsia="SimSun" w:hAnsiTheme="majorHAnsi"/>
        </w:rPr>
        <w:br/>
      </w:r>
      <w:r>
        <w:rPr>
          <w:rFonts w:asciiTheme="majorHAnsi" w:eastAsia="SimSun" w:hAnsiTheme="majorHAnsi"/>
        </w:rPr>
        <w:tab/>
      </w:r>
      <w:bookmarkEnd w:id="3"/>
    </w:p>
    <w:p w:rsidR="007C4F88" w:rsidRDefault="007C4F88">
      <w:pPr>
        <w:pStyle w:val="BodyText"/>
      </w:pPr>
    </w:p>
    <w:p w:rsidR="007C4F88" w:rsidRDefault="007C4F88">
      <w:pPr>
        <w:pStyle w:val="BodyText"/>
        <w:rPr>
          <w:rFonts w:cstheme="majorBidi"/>
        </w:rPr>
      </w:pPr>
    </w:p>
    <w:p w:rsidR="007C4F88" w:rsidRDefault="007C4F88">
      <w:pPr>
        <w:pStyle w:val="BodyText"/>
        <w:rPr>
          <w:rFonts w:cstheme="majorBidi"/>
        </w:rPr>
      </w:pPr>
      <w:bookmarkStart w:id="4" w:name="_DV_M172"/>
      <w:bookmarkStart w:id="5" w:name="_DV_M173"/>
      <w:bookmarkStart w:id="6" w:name="_DV_M174"/>
      <w:bookmarkStart w:id="7" w:name="_DV_M175"/>
      <w:bookmarkStart w:id="8" w:name="_DV_M356"/>
      <w:bookmarkStart w:id="9" w:name="_DV_M357"/>
      <w:bookmarkEnd w:id="4"/>
      <w:bookmarkEnd w:id="5"/>
      <w:bookmarkEnd w:id="6"/>
      <w:bookmarkEnd w:id="7"/>
      <w:bookmarkEnd w:id="8"/>
      <w:bookmarkEnd w:id="9"/>
    </w:p>
    <w:sectPr w:rsidR="007C4F88">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5A" w:rsidRDefault="00490B5A">
      <w:r>
        <w:separator/>
      </w:r>
    </w:p>
  </w:endnote>
  <w:endnote w:type="continuationSeparator" w:id="0">
    <w:p w:rsidR="00490B5A" w:rsidRDefault="0049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FKai-SB">
    <w:altName w:val="Microsoft YaHei"/>
    <w:panose1 w:val="020B0604020202020204"/>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CE9" w:rsidRPr="00490CE9" w:rsidRDefault="00490CE9" w:rsidP="00490CE9">
    <w:pPr>
      <w:pStyle w:val="Footer"/>
      <w:jc w:val="center"/>
      <w:rPr>
        <w:rFonts w:asciiTheme="majorHAnsi" w:hAnsiTheme="majorHAnsi"/>
      </w:rPr>
    </w:pPr>
    <w:r w:rsidRPr="00490CE9">
      <w:rPr>
        <w:rFonts w:asciiTheme="majorHAnsi" w:hAnsiTheme="majorHAnsi"/>
      </w:rPr>
      <w:fldChar w:fldCharType="begin"/>
    </w:r>
    <w:r w:rsidRPr="00490CE9">
      <w:rPr>
        <w:rFonts w:asciiTheme="majorHAnsi" w:hAnsiTheme="majorHAnsi"/>
      </w:rPr>
      <w:instrText xml:space="preserve"> PAGE   \* MERGEFORMAT </w:instrText>
    </w:r>
    <w:r w:rsidRPr="00490CE9">
      <w:rPr>
        <w:rFonts w:asciiTheme="majorHAnsi" w:hAnsiTheme="majorHAnsi"/>
      </w:rPr>
      <w:fldChar w:fldCharType="separate"/>
    </w:r>
    <w:r w:rsidR="001C5391">
      <w:rPr>
        <w:rFonts w:asciiTheme="majorHAnsi" w:hAnsiTheme="majorHAnsi"/>
        <w:noProof/>
      </w:rPr>
      <w:t>8</w:t>
    </w:r>
    <w:r w:rsidRPr="00490CE9">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5A" w:rsidRDefault="00490B5A">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90B5A">
        <w:tc>
          <w:tcPr>
            <w:tcW w:w="2880" w:type="dxa"/>
            <w:tcBorders>
              <w:bottom w:val="single" w:sz="4" w:space="0" w:color="auto"/>
            </w:tcBorders>
          </w:tcPr>
          <w:p w:rsidR="00490B5A" w:rsidRDefault="00490B5A">
            <w:pPr>
              <w:pStyle w:val="FootnoteSeparator"/>
            </w:pPr>
          </w:p>
        </w:tc>
      </w:tr>
      <w:tr w:rsidR="00490B5A">
        <w:tc>
          <w:tcPr>
            <w:tcW w:w="2880" w:type="dxa"/>
            <w:tcBorders>
              <w:top w:val="single" w:sz="4" w:space="0" w:color="auto"/>
            </w:tcBorders>
          </w:tcPr>
          <w:p w:rsidR="00490B5A" w:rsidRDefault="00490B5A">
            <w:pPr>
              <w:pStyle w:val="FootnoteSeparator"/>
            </w:pPr>
            <w:r>
              <w:t>(continued…)</w:t>
            </w:r>
          </w:p>
        </w:tc>
      </w:tr>
    </w:tbl>
    <w:p w:rsidR="00490B5A" w:rsidRDefault="00490B5A">
      <w:pPr>
        <w:pStyle w:val="Footer"/>
      </w:pPr>
    </w:p>
  </w:footnote>
  <w:footnote w:type="continuationNotice" w:id="1">
    <w:p w:rsidR="00490B5A" w:rsidRDefault="00490B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4C02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E8E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8F5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6E94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F6C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C8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A209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2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C29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AE5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2362D0E0"/>
    <w:name w:val="zzmpSpec1||Spec 1|3|1|1|5|0|41||1|0|1||1|2|32||1|2|32||1|2|32||1|2|32||1|2|32||1|0|0||1|0|0||"/>
    <w:lvl w:ilvl="0">
      <w:start w:val="1"/>
      <w:numFmt w:val="decimal"/>
      <w:pStyle w:val="Spec1L1"/>
      <w:isLgl/>
      <w:suff w:val="nothing"/>
      <w:lvlText w:val="SPECIFICATION %1"/>
      <w:lvlJc w:val="left"/>
      <w:pPr>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1" w15:restartNumberingAfterBreak="0">
    <w:nsid w:val="089560CE"/>
    <w:multiLevelType w:val="hybridMultilevel"/>
    <w:tmpl w:val="454619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D12468"/>
    <w:multiLevelType w:val="hybridMultilevel"/>
    <w:tmpl w:val="12689630"/>
    <w:lvl w:ilvl="0" w:tplc="534E61E8">
      <w:start w:val="1"/>
      <w:numFmt w:val="decimal"/>
      <w:pStyle w:val="B"/>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80769"/>
    <w:multiLevelType w:val="hybridMultilevel"/>
    <w:tmpl w:val="03F2C090"/>
    <w:name w:val="zzmpSpec1||Spec 1|3|1|1|5|0|41||1|0|1||1|2|32||1|2|32||1|2|32||1|2|32||1|2|32||1|0|0||1|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847F61"/>
    <w:multiLevelType w:val="hybridMultilevel"/>
    <w:tmpl w:val="E02C7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AF2E8F"/>
    <w:multiLevelType w:val="hybridMultilevel"/>
    <w:tmpl w:val="DC8A4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30307"/>
    <w:multiLevelType w:val="hybridMultilevel"/>
    <w:tmpl w:val="2966A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9E2626"/>
    <w:multiLevelType w:val="hybridMultilevel"/>
    <w:tmpl w:val="5E14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243B0"/>
    <w:multiLevelType w:val="hybridMultilevel"/>
    <w:tmpl w:val="0D1AE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8C77A5"/>
    <w:multiLevelType w:val="hybridMultilevel"/>
    <w:tmpl w:val="B2CAA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5"/>
  </w:num>
  <w:num w:numId="3">
    <w:abstractNumId w:val="10"/>
  </w:num>
  <w:num w:numId="4">
    <w:abstractNumId w:val="1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88"/>
    <w:rsid w:val="00052D86"/>
    <w:rsid w:val="000C50FF"/>
    <w:rsid w:val="0019593A"/>
    <w:rsid w:val="001C5391"/>
    <w:rsid w:val="001F4C67"/>
    <w:rsid w:val="00356F8B"/>
    <w:rsid w:val="003B0EBA"/>
    <w:rsid w:val="003D63D3"/>
    <w:rsid w:val="003E4A71"/>
    <w:rsid w:val="00490B5A"/>
    <w:rsid w:val="00490CE9"/>
    <w:rsid w:val="004951F0"/>
    <w:rsid w:val="004E023C"/>
    <w:rsid w:val="0050445A"/>
    <w:rsid w:val="005846B6"/>
    <w:rsid w:val="0059456A"/>
    <w:rsid w:val="006072A3"/>
    <w:rsid w:val="006454BD"/>
    <w:rsid w:val="00664CD0"/>
    <w:rsid w:val="006B35AD"/>
    <w:rsid w:val="00713C51"/>
    <w:rsid w:val="00762290"/>
    <w:rsid w:val="00792857"/>
    <w:rsid w:val="007C4F88"/>
    <w:rsid w:val="00837A84"/>
    <w:rsid w:val="008C28F2"/>
    <w:rsid w:val="0090465A"/>
    <w:rsid w:val="009507B3"/>
    <w:rsid w:val="00AA17F5"/>
    <w:rsid w:val="00C050BC"/>
    <w:rsid w:val="00C1753E"/>
    <w:rsid w:val="00C836F9"/>
    <w:rsid w:val="00CC0421"/>
    <w:rsid w:val="00CF6C24"/>
    <w:rsid w:val="00D8619F"/>
    <w:rsid w:val="00DC0A8A"/>
    <w:rsid w:val="00EE084F"/>
    <w:rsid w:val="00F138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19"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ind w:left="1440"/>
    </w:pPr>
    <w:rPr>
      <w:rFonts w:asciiTheme="majorHAnsi" w:hAnsiTheme="majorHAnsi"/>
    </w:rPr>
  </w:style>
  <w:style w:type="character" w:customStyle="1" w:styleId="BodyTextChar">
    <w:name w:val="Body Text Char"/>
    <w:basedOn w:val="DefaultParagraphFont"/>
    <w:link w:val="BodyText"/>
    <w:rPr>
      <w:rFonts w:asciiTheme="majorHAnsi" w:hAnsiTheme="majorHAnsi"/>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heme="majorHAnsi" w:hAnsiTheme="majorHAnsi"/>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99"/>
    <w:qFormat/>
    <w:pPr>
      <w:ind w:left="720"/>
      <w:contextualSpacing/>
    </w:pPr>
  </w:style>
  <w:style w:type="paragraph" w:customStyle="1" w:styleId="Spec1L1">
    <w:name w:val="Spec1_L1"/>
    <w:basedOn w:val="Normal"/>
    <w:next w:val="BodyText"/>
    <w:pPr>
      <w:keepNext/>
      <w:pageBreakBefore/>
      <w:numPr>
        <w:numId w:val="3"/>
      </w:numPr>
      <w:autoSpaceDE w:val="0"/>
      <w:autoSpaceDN w:val="0"/>
      <w:adjustRightInd w:val="0"/>
      <w:spacing w:after="240"/>
      <w:jc w:val="center"/>
      <w:outlineLvl w:val="0"/>
    </w:pPr>
    <w:rPr>
      <w:rFonts w:eastAsia="SimSun"/>
      <w:b/>
      <w:caps/>
      <w:sz w:val="22"/>
      <w:szCs w:val="20"/>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outlineLvl w:val="3"/>
    </w:pPr>
  </w:style>
  <w:style w:type="paragraph" w:customStyle="1" w:styleId="Spec1L5">
    <w:name w:val="Spec1_L5"/>
    <w:basedOn w:val="Spec1L4"/>
    <w:next w:val="BodyText"/>
    <w:pPr>
      <w:numPr>
        <w:ilvl w:val="4"/>
      </w:numPr>
      <w:outlineLvl w:val="4"/>
    </w:pPr>
  </w:style>
  <w:style w:type="paragraph" w:customStyle="1" w:styleId="Spec1L6">
    <w:name w:val="Spec1_L6"/>
    <w:basedOn w:val="Spec1L5"/>
    <w:next w:val="BodyText"/>
    <w:pPr>
      <w:numPr>
        <w:ilvl w:val="5"/>
      </w:numPr>
      <w:outlineLvl w:val="5"/>
    </w:pPr>
  </w:style>
  <w:style w:type="paragraph" w:customStyle="1" w:styleId="Spec1L7">
    <w:name w:val="Spec1_L7"/>
    <w:basedOn w:val="Spec1L6"/>
    <w:next w:val="BodyText"/>
    <w:pPr>
      <w:numPr>
        <w:ilvl w:val="6"/>
      </w:numPr>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outlineLvl w:val="8"/>
    </w:pPr>
  </w:style>
  <w:style w:type="character" w:styleId="Hyperlink">
    <w:name w:val="Hyperlink"/>
    <w:basedOn w:val="DefaultParagraphFont"/>
    <w:uiPriority w:val="99"/>
    <w:unhideWhenUsed/>
    <w:rPr>
      <w:color w:val="0000FF" w:themeColor="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
    <w:name w:val="B"/>
    <w:basedOn w:val="ListParagraph"/>
    <w:pPr>
      <w:widowControl w:val="0"/>
      <w:numPr>
        <w:numId w:val="1"/>
      </w:numPr>
      <w:spacing w:after="240"/>
      <w:contextualSpacing w:val="0"/>
    </w:pPr>
    <w:rPr>
      <w:rFonts w:asciiTheme="majorHAnsi" w:hAnsiTheme="majorHAnsi" w:cstheme="majorBidi"/>
    </w:rPr>
  </w:style>
  <w:style w:type="paragraph" w:customStyle="1" w:styleId="TableParagraph">
    <w:name w:val="Table Paragraph"/>
    <w:basedOn w:val="Normal"/>
    <w:uiPriority w:val="1"/>
    <w:qFormat/>
    <w:pPr>
      <w:widowControl w:val="0"/>
      <w:autoSpaceDE w:val="0"/>
      <w:autoSpaceDN w:val="0"/>
      <w:adjustRightInd w:val="0"/>
      <w:ind w:left="266"/>
    </w:pPr>
    <w:rPr>
      <w:rFonts w:ascii="Cambria" w:eastAsiaTheme="minorEastAs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5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551A-082E-6C4B-8DF1-3EC7F05A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2019-06-26T18:55:00Z</dcterms:created>
  <dcterms:modified xsi:type="dcterms:W3CDTF">2019-06-26T18:55:00Z</dcterms:modified>
</cp:coreProperties>
</file>