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15" w:type="dxa"/>
        <w:tblCellMar>
          <w:left w:w="0" w:type="dxa"/>
          <w:right w:w="0" w:type="dxa"/>
        </w:tblCellMar>
        <w:tblLook w:val="04A0" w:firstRow="1" w:lastRow="0" w:firstColumn="1" w:lastColumn="0" w:noHBand="0" w:noVBand="1"/>
      </w:tblPr>
      <w:tblGrid>
        <w:gridCol w:w="8265"/>
      </w:tblGrid>
      <w:tr w:rsidR="00032447">
        <w:trPr>
          <w:tblCellSpacing w:w="15" w:type="dxa"/>
        </w:trPr>
        <w:tc>
          <w:tcPr>
            <w:tcW w:w="4966" w:type="pct"/>
            <w:vAlign w:val="center"/>
            <w:hideMark/>
          </w:tcPr>
          <w:tbl>
            <w:tblPr>
              <w:tblW w:w="5000" w:type="pct"/>
              <w:tblCellSpacing w:w="15" w:type="dxa"/>
              <w:tblCellMar>
                <w:left w:w="0" w:type="dxa"/>
                <w:right w:w="0" w:type="dxa"/>
              </w:tblCellMar>
              <w:tblLook w:val="04A0" w:firstRow="1" w:lastRow="0" w:firstColumn="1" w:lastColumn="0" w:noHBand="0" w:noVBand="1"/>
            </w:tblPr>
            <w:tblGrid>
              <w:gridCol w:w="481"/>
              <w:gridCol w:w="2311"/>
              <w:gridCol w:w="5413"/>
            </w:tblGrid>
            <w:tr w:rsidR="00032447">
              <w:trPr>
                <w:tblCellSpacing w:w="15" w:type="dxa"/>
              </w:trPr>
              <w:tc>
                <w:tcPr>
                  <w:tcW w:w="350" w:type="pct"/>
                  <w:vAlign w:val="center"/>
                  <w:hideMark/>
                </w:tcPr>
                <w:p w:rsidR="00032447" w:rsidRDefault="003E76F6">
                  <w:r>
                    <w:t> </w:t>
                  </w:r>
                </w:p>
              </w:tc>
              <w:tc>
                <w:tcPr>
                  <w:tcW w:w="1250" w:type="pct"/>
                  <w:vAlign w:val="center"/>
                  <w:hideMark/>
                </w:tcPr>
                <w:p w:rsidR="00032447" w:rsidRDefault="003E76F6">
                  <w:r>
                    <w:rPr>
                      <w:noProof/>
                      <w:lang w:eastAsia="en-US"/>
                    </w:rPr>
                    <w:drawing>
                      <wp:inline distT="0" distB="0" distL="0" distR="0" wp14:anchorId="084D4EDF" wp14:editId="18D77D68">
                        <wp:extent cx="1448554" cy="1117236"/>
                        <wp:effectExtent l="0" t="0" r="0" b="635"/>
                        <wp:docPr id="12" name="Picture 12" descr="ICAN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ANN Logo"/>
                                <pic:cNvPicPr>
                                  <a:picLocks noChangeAspect="1" noChangeArrowheads="1"/>
                                </pic:cNvPicPr>
                              </pic:nvPicPr>
                              <pic:blipFill>
                                <a:blip r:embed="rId8" cstate="print"/>
                                <a:srcRect/>
                                <a:stretch>
                                  <a:fillRect/>
                                </a:stretch>
                              </pic:blipFill>
                              <pic:spPr bwMode="auto">
                                <a:xfrm>
                                  <a:off x="0" y="0"/>
                                  <a:ext cx="1448554" cy="1117236"/>
                                </a:xfrm>
                                <a:prstGeom prst="rect">
                                  <a:avLst/>
                                </a:prstGeom>
                                <a:noFill/>
                                <a:ln w="9525">
                                  <a:noFill/>
                                  <a:miter lim="800000"/>
                                  <a:headEnd/>
                                  <a:tailEnd/>
                                </a:ln>
                              </pic:spPr>
                            </pic:pic>
                          </a:graphicData>
                        </a:graphic>
                      </wp:inline>
                    </w:drawing>
                  </w:r>
                </w:p>
              </w:tc>
              <w:tc>
                <w:tcPr>
                  <w:tcW w:w="3400" w:type="pct"/>
                  <w:vAlign w:val="center"/>
                  <w:hideMark/>
                </w:tcPr>
                <w:p w:rsidR="00032447" w:rsidRDefault="003E76F6">
                  <w:pPr>
                    <w:jc w:val="center"/>
                  </w:pPr>
                  <w:r>
                    <w:t>.BIZ Agreement Appendix 12 </w:t>
                  </w:r>
                  <w:r>
                    <w:br/>
                  </w:r>
                  <w:bookmarkStart w:id="0" w:name="_GoBack"/>
                  <w:r>
                    <w:t>Registry Operator Code of Conduct</w:t>
                  </w:r>
                  <w:bookmarkEnd w:id="0"/>
                  <w:r>
                    <w:br/>
                    <w:t>(22 August 2013)</w:t>
                  </w:r>
                </w:p>
              </w:tc>
            </w:tr>
          </w:tbl>
          <w:p w:rsidR="00032447" w:rsidRDefault="006C70A1">
            <w:r>
              <w:pict w14:anchorId="1DF2C1B2">
                <v:rect id="_x0000_i1025" style="width:0;height:1.5pt" o:hralign="center" o:hrstd="t" o:hrnoshade="t" o:hr="t" fillcolor="gray" stroked="f"/>
              </w:pict>
            </w:r>
          </w:p>
          <w:p w:rsidR="00032447" w:rsidRDefault="00032447"/>
        </w:tc>
      </w:tr>
    </w:tbl>
    <w:p w:rsidR="00032447" w:rsidRDefault="00032447">
      <w:pPr>
        <w:pStyle w:val="Default"/>
        <w:rPr>
          <w:rFonts w:ascii="Times New Roman" w:hAnsi="Times New Roman" w:cs="Times New Roman"/>
        </w:rPr>
      </w:pPr>
    </w:p>
    <w:p w:rsidR="00032447" w:rsidRDefault="003E76F6">
      <w:pPr>
        <w:pStyle w:val="Default"/>
        <w:numPr>
          <w:ilvl w:val="0"/>
          <w:numId w:val="1"/>
        </w:numPr>
        <w:rPr>
          <w:rFonts w:ascii="Times New Roman" w:hAnsi="Times New Roman" w:cs="Times New Roman"/>
        </w:rPr>
      </w:pPr>
      <w:r>
        <w:rPr>
          <w:rFonts w:ascii="Times New Roman" w:hAnsi="Times New Roman" w:cs="Times New Roman"/>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rsidR="00032447" w:rsidRDefault="00032447">
      <w:pPr>
        <w:pStyle w:val="Default"/>
        <w:ind w:left="720"/>
        <w:rPr>
          <w:rFonts w:ascii="Times New Roman" w:hAnsi="Times New Roman" w:cs="Times New Roman"/>
        </w:rPr>
      </w:pPr>
    </w:p>
    <w:p w:rsidR="00032447" w:rsidRDefault="003E76F6">
      <w:pPr>
        <w:pStyle w:val="Default"/>
        <w:numPr>
          <w:ilvl w:val="1"/>
          <w:numId w:val="1"/>
        </w:numPr>
        <w:spacing w:after="250"/>
        <w:rPr>
          <w:rFonts w:ascii="Times New Roman" w:hAnsi="Times New Roman" w:cs="Times New Roman"/>
        </w:rPr>
      </w:pPr>
      <w:r>
        <w:rPr>
          <w:rFonts w:ascii="Times New Roman" w:hAnsi="Times New Roman" w:cs="Times New Roman"/>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rsidR="00032447" w:rsidRDefault="003E76F6">
      <w:pPr>
        <w:pStyle w:val="Default"/>
        <w:numPr>
          <w:ilvl w:val="1"/>
          <w:numId w:val="1"/>
        </w:numPr>
        <w:spacing w:after="250"/>
        <w:rPr>
          <w:rFonts w:ascii="Times New Roman" w:hAnsi="Times New Roman" w:cs="Times New Roman"/>
        </w:rPr>
      </w:pPr>
      <w:r>
        <w:rPr>
          <w:rFonts w:ascii="Times New Roman" w:hAnsi="Times New Roman" w:cs="Times New Roman"/>
        </w:rPr>
        <w:t>other than as permitted in this Agreement</w:t>
      </w:r>
      <w:r>
        <w:rPr>
          <w:rFonts w:ascii="Arial" w:hAnsi="Arial" w:cs="Arial"/>
        </w:rPr>
        <w:t xml:space="preserve">, </w:t>
      </w:r>
      <w:r>
        <w:rPr>
          <w:rFonts w:ascii="Times New Roman" w:hAnsi="Times New Roman" w:cs="Times New Roman"/>
        </w:rPr>
        <w:t xml:space="preserve">register domain names in its own right, except for names registered through an ICANN accredited registrar; </w:t>
      </w:r>
    </w:p>
    <w:p w:rsidR="00032447" w:rsidRDefault="003E76F6">
      <w:pPr>
        <w:pStyle w:val="Default"/>
        <w:numPr>
          <w:ilvl w:val="1"/>
          <w:numId w:val="1"/>
        </w:numPr>
        <w:spacing w:after="250"/>
        <w:rPr>
          <w:rFonts w:ascii="Times New Roman" w:hAnsi="Times New Roman" w:cs="Times New Roman"/>
        </w:rPr>
      </w:pPr>
      <w:r>
        <w:rPr>
          <w:rFonts w:ascii="Times New Roman" w:hAnsi="Times New Roman" w:cs="Times New Roman"/>
        </w:rPr>
        <w:t xml:space="preserve">register names in the TLD or sub-domains of the TLD based upon proprietary access to information about searches or resolution requests by consumers for domain names not yet registered (commonly known as, “front-running”); or </w:t>
      </w:r>
    </w:p>
    <w:p w:rsidR="00032447" w:rsidRDefault="003E76F6">
      <w:pPr>
        <w:pStyle w:val="Default"/>
        <w:numPr>
          <w:ilvl w:val="1"/>
          <w:numId w:val="1"/>
        </w:numPr>
        <w:spacing w:after="250"/>
        <w:rPr>
          <w:rFonts w:ascii="Times New Roman" w:hAnsi="Times New Roman" w:cs="Times New Roman"/>
        </w:rPr>
      </w:pPr>
      <w:proofErr w:type="gramStart"/>
      <w:r>
        <w:rPr>
          <w:rFonts w:ascii="Times New Roman" w:hAnsi="Times New Roman" w:cs="Times New Roman"/>
        </w:rPr>
        <w:t>allow</w:t>
      </w:r>
      <w:proofErr w:type="gramEnd"/>
      <w:r>
        <w:rPr>
          <w:rFonts w:ascii="Times New Roman" w:hAnsi="Times New Roman" w:cs="Times New Roman"/>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rsidR="00032447" w:rsidRDefault="003E76F6">
      <w:pPr>
        <w:pStyle w:val="Default"/>
        <w:numPr>
          <w:ilvl w:val="0"/>
          <w:numId w:val="1"/>
        </w:numPr>
        <w:spacing w:after="250"/>
        <w:rPr>
          <w:rFonts w:ascii="Times New Roman" w:hAnsi="Times New Roman" w:cs="Times New Roman"/>
        </w:rPr>
      </w:pPr>
      <w:r>
        <w:rPr>
          <w:rFonts w:ascii="Times New Roman" w:hAnsi="Times New Roman" w:cs="Times New Roman"/>
        </w:rPr>
        <w:t xml:space="preserve">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 </w:t>
      </w:r>
    </w:p>
    <w:p w:rsidR="00032447" w:rsidRDefault="003E76F6">
      <w:pPr>
        <w:pStyle w:val="Default"/>
        <w:numPr>
          <w:ilvl w:val="0"/>
          <w:numId w:val="1"/>
        </w:numPr>
        <w:spacing w:after="250"/>
        <w:rPr>
          <w:rFonts w:ascii="Times New Roman" w:hAnsi="Times New Roman" w:cs="Times New Roman"/>
        </w:rPr>
      </w:pPr>
      <w:r>
        <w:rPr>
          <w:rFonts w:ascii="Times New Roman" w:hAnsi="Times New Roman" w:cs="Times New Roman"/>
        </w:rPr>
        <w:t xml:space="preserve">If Registry Operator or a Registry Related Party also operates as a provider of registrar or registrar-reseller services, Registry Operator will conduct internal reviews at least once per calendar year to ensure compliance with this Code of </w:t>
      </w:r>
      <w:r>
        <w:rPr>
          <w:rFonts w:ascii="Times New Roman" w:hAnsi="Times New Roman" w:cs="Times New Roman"/>
        </w:rPr>
        <w:lastRenderedPageBreak/>
        <w:t xml:space="preserve">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(the “receiving party”) shall not disclose any information that is, and the Registry Operator (the “disclosing party”) has marked as, or has otherwise designated in writing to the receiving party as, “confidential trade secret,” “confidential commercial information” or “confidential financial information” (collectively, “Confidential Information”) contained in such results except in accordance with the following: </w:t>
      </w:r>
    </w:p>
    <w:p w:rsidR="00032447" w:rsidRDefault="003E76F6">
      <w:pPr>
        <w:pStyle w:val="Default"/>
        <w:numPr>
          <w:ilvl w:val="1"/>
          <w:numId w:val="1"/>
        </w:numPr>
        <w:spacing w:after="250"/>
        <w:rPr>
          <w:rFonts w:ascii="Times New Roman" w:hAnsi="Times New Roman" w:cs="Times New Roman"/>
        </w:rPr>
      </w:pPr>
      <w:r>
        <w:rPr>
          <w:rFonts w:ascii="Times New Roman" w:hAnsi="Times New Roman" w:cs="Times New Roman"/>
        </w:rPr>
        <w:t>The confidentiality obligations under this paragraph 3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rsidR="00032447" w:rsidRDefault="003E76F6">
      <w:pPr>
        <w:pStyle w:val="Default"/>
        <w:numPr>
          <w:ilvl w:val="1"/>
          <w:numId w:val="1"/>
        </w:numPr>
        <w:spacing w:after="250"/>
        <w:rPr>
          <w:rFonts w:ascii="Times New Roman" w:hAnsi="Times New Roman" w:cs="Times New Roman"/>
        </w:rPr>
      </w:pPr>
      <w:r>
        <w:rPr>
          <w:rFonts w:ascii="Times New Roman" w:hAnsi="Times New Roman" w:cs="Times New Roman"/>
        </w:rPr>
        <w:t xml:space="preserve">The receiving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w:t>
      </w:r>
      <w:r>
        <w:rPr>
          <w:rFonts w:ascii="Times New Roman" w:hAnsi="Times New Roman" w:cs="Times New Roman"/>
        </w:rPr>
        <w:lastRenderedPageBreak/>
        <w:t>standards.</w:t>
      </w:r>
    </w:p>
    <w:p w:rsidR="00032447" w:rsidRDefault="003E76F6">
      <w:pPr>
        <w:pStyle w:val="Default"/>
        <w:numPr>
          <w:ilvl w:val="0"/>
          <w:numId w:val="1"/>
        </w:numPr>
        <w:spacing w:after="250"/>
        <w:rPr>
          <w:rFonts w:ascii="Times New Roman" w:hAnsi="Times New Roman" w:cs="Times New Roman"/>
        </w:rPr>
      </w:pPr>
      <w:r>
        <w:rPr>
          <w:rFonts w:ascii="Times New Roman" w:hAnsi="Times New Roman" w:cs="Times New Roman"/>
        </w:rPr>
        <w:t xml:space="preserve">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 </w:t>
      </w:r>
    </w:p>
    <w:p w:rsidR="00032447" w:rsidRDefault="003E76F6">
      <w:pPr>
        <w:pStyle w:val="Default"/>
        <w:numPr>
          <w:ilvl w:val="0"/>
          <w:numId w:val="1"/>
        </w:numPr>
        <w:spacing w:after="250"/>
        <w:rPr>
          <w:rFonts w:ascii="Times New Roman" w:hAnsi="Times New Roman" w:cs="Times New Roman"/>
        </w:rPr>
      </w:pPr>
      <w:r>
        <w:rPr>
          <w:rFonts w:ascii="Times New Roman" w:hAnsi="Times New Roman" w:cs="Times New Roman"/>
        </w:rPr>
        <w:t xml:space="preserve">Nothing set forth herein shall limit the ability of Registry Operator or any Registry Related Party, to enter into arms-length transactions in the ordinary course of business with a registrar or reseller with respect to products and services unrelated in all respects to the TLD. </w:t>
      </w:r>
    </w:p>
    <w:p w:rsidR="00032447" w:rsidRDefault="003E76F6">
      <w:pPr>
        <w:pStyle w:val="Default"/>
        <w:numPr>
          <w:ilvl w:val="0"/>
          <w:numId w:val="1"/>
        </w:numPr>
        <w:spacing w:after="250"/>
        <w:rPr>
          <w:rFonts w:ascii="Times New Roman" w:hAnsi="Times New Roman" w:cs="Times New Roman"/>
        </w:rPr>
      </w:pPr>
      <w:r>
        <w:rPr>
          <w:rFonts w:ascii="Times New Roman" w:hAnsi="Times New Roman" w:cs="Times New Roman"/>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sectPr w:rsidR="0003244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A1" w:rsidRDefault="006C70A1">
      <w:r>
        <w:separator/>
      </w:r>
    </w:p>
  </w:endnote>
  <w:endnote w:type="continuationSeparator" w:id="0">
    <w:p w:rsidR="006C70A1" w:rsidRDefault="006C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A1" w:rsidRDefault="006C70A1">
      <w:r>
        <w:separator/>
      </w:r>
    </w:p>
  </w:footnote>
  <w:footnote w:type="continuationSeparator" w:id="0">
    <w:p w:rsidR="006C70A1" w:rsidRDefault="006C7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075AE"/>
    <w:multiLevelType w:val="hybridMultilevel"/>
    <w:tmpl w:val="55D41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ocumentProtection w:edit="trackedChanges" w:enforcement="1" w:cryptProviderType="rsaFull" w:cryptAlgorithmClass="hash" w:cryptAlgorithmType="typeAny" w:cryptAlgorithmSid="4" w:cryptSpinCount="100000" w:hash="COEApyrhkBwjwMi91GVx8D2Y1N8=" w:salt="BXt9YZVGFkC8K8HFJ7wTO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4960v1"/>
    <w:docVar w:name="MPDocIDTemplate" w:val="%l-|%n|v%v"/>
    <w:docVar w:name="MPDocIDTemplateDefault" w:val="%l-|%n|v%v"/>
    <w:docVar w:name="NewDocStampType" w:val="7"/>
  </w:docVars>
  <w:rsids>
    <w:rsidRoot w:val="00032447"/>
    <w:rsid w:val="0000201B"/>
    <w:rsid w:val="00032447"/>
    <w:rsid w:val="003E76F6"/>
    <w:rsid w:val="00696CEF"/>
    <w:rsid w:val="006C70A1"/>
    <w:rsid w:val="00927E90"/>
    <w:rsid w:val="009877A7"/>
    <w:rsid w:val="00A01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9F"/>
    <w:rPr>
      <w:rFonts w:ascii="Times New Roman" w:eastAsia="SimSun" w:hAnsi="Times New Roman"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0EA"/>
    <w:pPr>
      <w:widowControl w:val="0"/>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lang w:eastAsia="zh-CN"/>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SimSun" w:hAnsi="Times New Roman" w:cs="Times New Roman"/>
      <w:szCs w:val="20"/>
      <w:lang w:eastAsia="zh-CN"/>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ascii="Times New Roman" w:eastAsia="SimSun" w:hAnsi="Times New Roman" w:cs="Times New Roman"/>
      <w:szCs w:val="20"/>
      <w:lang w:eastAsia="zh-C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9F"/>
    <w:rPr>
      <w:rFonts w:ascii="Times New Roman" w:eastAsia="SimSun" w:hAnsi="Times New Roman"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0EA"/>
    <w:pPr>
      <w:widowControl w:val="0"/>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lang w:eastAsia="zh-CN"/>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SimSun" w:hAnsi="Times New Roman" w:cs="Times New Roman"/>
      <w:szCs w:val="20"/>
      <w:lang w:eastAsia="zh-CN"/>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ascii="Times New Roman" w:eastAsia="SimSun" w:hAnsi="Times New Roman" w:cs="Times New Roman"/>
      <w:szCs w:val="20"/>
      <w:lang w:eastAsia="zh-C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Randall</dc:creator>
  <cp:lastModifiedBy>Mary McCray</cp:lastModifiedBy>
  <cp:revision>2</cp:revision>
  <cp:lastPrinted>2013-09-06T16:30:00Z</cp:lastPrinted>
  <dcterms:created xsi:type="dcterms:W3CDTF">2013-09-12T21:11:00Z</dcterms:created>
  <dcterms:modified xsi:type="dcterms:W3CDTF">2013-09-12T21:11:00Z</dcterms:modified>
</cp:coreProperties>
</file>